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056415" w:rsidP="00056415" w:rsidRDefault="00056415" w14:paraId="3AF15192" w14:textId="77777777">
      <w:r w:rsidRPr="00067D68">
        <w:rPr>
          <w:noProof/>
          <w:color w:val="FF0000"/>
        </w:rPr>
        <w:drawing>
          <wp:anchor distT="0" distB="0" distL="114300" distR="114300" simplePos="0" relativeHeight="251658240" behindDoc="1" locked="0" layoutInCell="1" allowOverlap="1" wp14:anchorId="083DE5B2" wp14:editId="49A1800E">
            <wp:simplePos x="0" y="0"/>
            <wp:positionH relativeFrom="margin">
              <wp:posOffset>2869961</wp:posOffset>
            </wp:positionH>
            <wp:positionV relativeFrom="paragraph">
              <wp:posOffset>53124</wp:posOffset>
            </wp:positionV>
            <wp:extent cx="2560320" cy="1845945"/>
            <wp:effectExtent l="0" t="0" r="0" b="1905"/>
            <wp:wrapTight wrapText="bothSides">
              <wp:wrapPolygon edited="0">
                <wp:start x="0" y="0"/>
                <wp:lineTo x="0" y="21399"/>
                <wp:lineTo x="21375" y="21399"/>
                <wp:lineTo x="21375" y="0"/>
                <wp:lineTo x="0" y="0"/>
              </wp:wrapPolygon>
            </wp:wrapTight>
            <wp:docPr id="1946769422" name="Obraz 3" descr="Obraz zawierający logo, Czcionka, Grafika, symbol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6769422" name="Obraz 3" descr="Obraz zawierający logo, Czcionka, Grafika, symbol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845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56415" w:rsidP="00056415" w:rsidRDefault="00056415" w14:paraId="56D321A8" w14:textId="77777777">
      <w:pPr>
        <w:rPr>
          <w:color w:val="171717" w:themeColor="background2" w:themeShade="1A"/>
          <w:sz w:val="44"/>
          <w:szCs w:val="44"/>
        </w:rPr>
      </w:pPr>
    </w:p>
    <w:p w:rsidR="00056415" w:rsidP="00056415" w:rsidRDefault="00056415" w14:paraId="7CBF1F24" w14:textId="77777777"/>
    <w:p w:rsidR="00056415" w:rsidP="00056415" w:rsidRDefault="00056415" w14:paraId="4B1AA49C" w14:textId="77777777">
      <w:r>
        <w:tab/>
      </w:r>
    </w:p>
    <w:p w:rsidR="00056415" w:rsidP="00056415" w:rsidRDefault="00056415" w14:paraId="5829CA50" w14:textId="77777777"/>
    <w:p w:rsidR="00056415" w:rsidP="00056415" w:rsidRDefault="00056415" w14:paraId="56435081" w14:textId="77777777"/>
    <w:p w:rsidR="00056415" w:rsidP="00056415" w:rsidRDefault="00056415" w14:paraId="6F743ED9" w14:textId="77777777"/>
    <w:p w:rsidR="00056415" w:rsidP="00056415" w:rsidRDefault="00056415" w14:paraId="599C10CD" w14:textId="77777777"/>
    <w:p w:rsidR="00056415" w:rsidP="00056415" w:rsidRDefault="00056415" w14:paraId="533D7FFC" w14:textId="77777777"/>
    <w:p w:rsidR="00056415" w:rsidP="00056415" w:rsidRDefault="00056415" w14:paraId="7963B585" w14:textId="77777777"/>
    <w:p w:rsidR="00056415" w:rsidP="00056415" w:rsidRDefault="00056415" w14:paraId="01379A65" w14:textId="77777777">
      <w:pPr>
        <w:jc w:val="left"/>
        <w:rPr>
          <w:rFonts w:ascii="Arial" w:hAnsi="Arial" w:cs="Arial"/>
          <w:b/>
          <w:bCs/>
          <w:smallCaps/>
          <w:color w:val="171717" w:themeColor="background2" w:themeShade="1A"/>
          <w:sz w:val="52"/>
          <w:szCs w:val="52"/>
        </w:rPr>
      </w:pPr>
    </w:p>
    <w:p w:rsidR="00056415" w:rsidP="00056415" w:rsidRDefault="00056415" w14:paraId="4D2AB788" w14:textId="77777777">
      <w:pPr>
        <w:jc w:val="left"/>
        <w:rPr>
          <w:rFonts w:ascii="Arial" w:hAnsi="Arial" w:cs="Arial"/>
          <w:b/>
          <w:bCs/>
          <w:smallCaps/>
          <w:color w:val="171717" w:themeColor="background2" w:themeShade="1A"/>
          <w:sz w:val="52"/>
          <w:szCs w:val="52"/>
        </w:rPr>
      </w:pPr>
    </w:p>
    <w:p w:rsidR="00056415" w:rsidP="00056415" w:rsidRDefault="00056415" w14:paraId="7ACFC800" w14:textId="77777777">
      <w:pPr>
        <w:jc w:val="left"/>
        <w:rPr>
          <w:rFonts w:ascii="Arial" w:hAnsi="Arial" w:cs="Arial"/>
          <w:b/>
          <w:bCs/>
          <w:smallCaps/>
          <w:color w:val="171717" w:themeColor="background2" w:themeShade="1A"/>
          <w:sz w:val="52"/>
          <w:szCs w:val="52"/>
        </w:rPr>
      </w:pPr>
    </w:p>
    <w:p w:rsidR="00056415" w:rsidP="00056415" w:rsidRDefault="00056415" w14:paraId="1038AD60" w14:textId="77777777">
      <w:pPr>
        <w:jc w:val="left"/>
        <w:rPr>
          <w:rFonts w:ascii="Arial" w:hAnsi="Arial" w:cs="Arial"/>
          <w:b/>
          <w:bCs/>
          <w:smallCaps/>
          <w:color w:val="171717" w:themeColor="background2" w:themeShade="1A"/>
          <w:sz w:val="52"/>
          <w:szCs w:val="52"/>
        </w:rPr>
      </w:pPr>
    </w:p>
    <w:p w:rsidRPr="005C0E39" w:rsidR="00056415" w:rsidP="00056415" w:rsidRDefault="000B4190" w14:paraId="695FFBA3" w14:textId="793A951A">
      <w:pPr>
        <w:jc w:val="left"/>
        <w:rPr>
          <w:rFonts w:ascii="Arial" w:hAnsi="Arial" w:cs="Arial"/>
          <w:b/>
          <w:bCs/>
          <w:smallCaps/>
          <w:color w:val="171717" w:themeColor="background2" w:themeShade="1A"/>
          <w:sz w:val="52"/>
          <w:szCs w:val="52"/>
        </w:rPr>
      </w:pPr>
      <w:proofErr w:type="spellStart"/>
      <w:r>
        <w:rPr>
          <w:rFonts w:ascii="Arial" w:hAnsi="Arial" w:cs="Arial"/>
          <w:b/>
          <w:bCs/>
          <w:smallCaps/>
          <w:color w:val="171717" w:themeColor="background2" w:themeShade="1A"/>
          <w:sz w:val="52"/>
          <w:szCs w:val="52"/>
        </w:rPr>
        <w:t>Use</w:t>
      </w:r>
      <w:proofErr w:type="spellEnd"/>
      <w:r>
        <w:rPr>
          <w:rFonts w:ascii="Arial" w:hAnsi="Arial" w:cs="Arial"/>
          <w:b/>
          <w:bCs/>
          <w:smallCaps/>
          <w:color w:val="171717" w:themeColor="background2" w:themeShade="1A"/>
          <w:sz w:val="52"/>
          <w:szCs w:val="52"/>
        </w:rPr>
        <w:t xml:space="preserve"> case</w:t>
      </w:r>
    </w:p>
    <w:p w:rsidRPr="005C0E39" w:rsidR="00056415" w:rsidP="00056415" w:rsidRDefault="000F4D7F" w14:paraId="22458C29" w14:textId="3BFE743F">
      <w:pPr>
        <w:rPr>
          <w:rFonts w:ascii="Arial" w:hAnsi="Arial" w:cs="Arial"/>
          <w:i/>
          <w:iCs/>
          <w:smallCaps/>
          <w:color w:val="171717" w:themeColor="background2" w:themeShade="1A"/>
          <w:sz w:val="32"/>
          <w:szCs w:val="32"/>
        </w:rPr>
      </w:pPr>
      <w:proofErr w:type="spellStart"/>
      <w:r>
        <w:rPr>
          <w:rFonts w:ascii="Arial" w:hAnsi="Arial" w:cs="Arial"/>
          <w:i/>
          <w:iCs/>
          <w:smallCaps/>
          <w:color w:val="171717" w:themeColor="background2" w:themeShade="1A"/>
          <w:sz w:val="32"/>
          <w:szCs w:val="32"/>
        </w:rPr>
        <w:t>S</w:t>
      </w:r>
      <w:r w:rsidRPr="005C0E39" w:rsidR="00056415">
        <w:rPr>
          <w:rFonts w:ascii="Arial" w:hAnsi="Arial" w:cs="Arial"/>
          <w:i/>
          <w:iCs/>
          <w:smallCaps/>
          <w:color w:val="171717" w:themeColor="background2" w:themeShade="1A"/>
          <w:sz w:val="32"/>
          <w:szCs w:val="32"/>
        </w:rPr>
        <w:t>pm</w:t>
      </w:r>
      <w:proofErr w:type="spellEnd"/>
      <w:r w:rsidRPr="005C0E39" w:rsidR="00056415">
        <w:rPr>
          <w:rFonts w:ascii="Arial" w:hAnsi="Arial" w:cs="Arial"/>
          <w:i/>
          <w:iCs/>
          <w:smallCaps/>
          <w:color w:val="171717" w:themeColor="background2" w:themeShade="1A"/>
          <w:sz w:val="32"/>
          <w:szCs w:val="32"/>
        </w:rPr>
        <w:t xml:space="preserve"> - proces </w:t>
      </w:r>
      <w:proofErr w:type="spellStart"/>
      <w:r w:rsidRPr="005C0E39" w:rsidR="00056415">
        <w:rPr>
          <w:rFonts w:ascii="Arial" w:hAnsi="Arial" w:cs="Arial"/>
          <w:i/>
          <w:iCs/>
          <w:smallCaps/>
          <w:color w:val="171717" w:themeColor="background2" w:themeShade="1A"/>
          <w:sz w:val="32"/>
          <w:szCs w:val="32"/>
        </w:rPr>
        <w:t>rf</w:t>
      </w:r>
      <w:r>
        <w:rPr>
          <w:rFonts w:ascii="Arial" w:hAnsi="Arial" w:cs="Arial"/>
          <w:i/>
          <w:iCs/>
          <w:smallCaps/>
          <w:color w:val="171717" w:themeColor="background2" w:themeShade="1A"/>
          <w:sz w:val="32"/>
          <w:szCs w:val="32"/>
        </w:rPr>
        <w:t>i</w:t>
      </w:r>
      <w:proofErr w:type="spellEnd"/>
    </w:p>
    <w:p w:rsidRPr="005C0E39" w:rsidR="00056415" w:rsidP="00056415" w:rsidRDefault="00056415" w14:paraId="611EC29B" w14:textId="77777777"/>
    <w:p w:rsidRPr="00E52997" w:rsidR="00056415" w:rsidP="0FFA3208" w:rsidRDefault="00056415" w14:paraId="741C999C" w14:textId="1EC52C73">
      <w:pPr>
        <w:pStyle w:val="Normalny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  <w:rPr>
          <w:rFonts w:ascii="Arial" w:hAnsi="Arial" w:cs="Arial"/>
          <w:i w:val="1"/>
          <w:iCs w:val="1"/>
          <w:smallCaps w:val="1"/>
          <w:color w:val="171717" w:themeColor="background2" w:themeTint="FF" w:themeShade="1A"/>
          <w:sz w:val="36"/>
          <w:szCs w:val="36"/>
        </w:rPr>
      </w:pPr>
      <w:r w:rsidRPr="0FFA3208" w:rsidR="00056415">
        <w:rPr>
          <w:rFonts w:ascii="Arial" w:hAnsi="Arial" w:cs="Arial"/>
          <w:i w:val="1"/>
          <w:iCs w:val="1"/>
          <w:smallCaps w:val="1"/>
          <w:color w:val="171717" w:themeColor="background2" w:themeTint="FF" w:themeShade="1A"/>
          <w:sz w:val="36"/>
          <w:szCs w:val="36"/>
        </w:rPr>
        <w:t xml:space="preserve">- </w:t>
      </w:r>
      <w:r w:rsidRPr="0FFA3208" w:rsidR="00E86063">
        <w:rPr>
          <w:rFonts w:ascii="Arial" w:hAnsi="Arial" w:cs="Arial"/>
          <w:b w:val="1"/>
          <w:bCs w:val="1"/>
          <w:i w:val="1"/>
          <w:iCs w:val="1"/>
          <w:smallCaps w:val="1"/>
          <w:color w:val="171717" w:themeColor="background2" w:themeTint="FF" w:themeShade="1A"/>
          <w:sz w:val="36"/>
          <w:szCs w:val="36"/>
        </w:rPr>
        <w:t xml:space="preserve">przygotowanie założeń do procesu </w:t>
      </w:r>
      <w:r w:rsidRPr="0FFA3208" w:rsidR="00E52997">
        <w:rPr>
          <w:rFonts w:ascii="Arial" w:hAnsi="Arial" w:eastAsia="Aptos" w:cs="Arial" w:asciiTheme="minorAscii" w:hAnsiTheme="minorAscii" w:eastAsiaTheme="minorAscii" w:cstheme="minorBidi"/>
          <w:b w:val="1"/>
          <w:bCs w:val="1"/>
          <w:i w:val="1"/>
          <w:iCs w:val="1"/>
          <w:smallCaps w:val="1"/>
          <w:color w:val="171717" w:themeColor="background2" w:themeTint="FF" w:themeShade="1A"/>
          <w:sz w:val="36"/>
          <w:szCs w:val="36"/>
          <w:lang w:eastAsia="en-US" w:bidi="ar-SA"/>
        </w:rPr>
        <w:t>opracowani</w:t>
      </w:r>
      <w:r w:rsidRPr="0FFA3208" w:rsidR="2EE8F48C">
        <w:rPr>
          <w:rFonts w:ascii="Arial" w:hAnsi="Arial" w:eastAsia="Aptos" w:cs="Arial" w:asciiTheme="minorAscii" w:hAnsiTheme="minorAscii" w:eastAsiaTheme="minorAscii" w:cstheme="minorBidi"/>
          <w:b w:val="1"/>
          <w:bCs w:val="1"/>
          <w:i w:val="1"/>
          <w:iCs w:val="1"/>
          <w:smallCaps w:val="1"/>
          <w:color w:val="171717" w:themeColor="background2" w:themeTint="FF" w:themeShade="1A"/>
          <w:sz w:val="36"/>
          <w:szCs w:val="36"/>
          <w:lang w:eastAsia="en-US" w:bidi="ar-SA"/>
        </w:rPr>
        <w:t xml:space="preserve">a / </w:t>
      </w:r>
      <w:r w:rsidRPr="0FFA3208" w:rsidR="27DB0263">
        <w:rPr>
          <w:rFonts w:ascii="Arial" w:hAnsi="Arial" w:eastAsia="Aptos" w:cs="Arial" w:asciiTheme="minorAscii" w:hAnsiTheme="minorAscii" w:eastAsiaTheme="minorAscii" w:cstheme="minorBidi"/>
          <w:b w:val="1"/>
          <w:bCs w:val="1"/>
          <w:i w:val="1"/>
          <w:iCs w:val="1"/>
          <w:smallCaps w:val="1"/>
          <w:color w:val="171717" w:themeColor="background2" w:themeTint="FF" w:themeShade="1A"/>
          <w:sz w:val="36"/>
          <w:szCs w:val="36"/>
          <w:lang w:eastAsia="en-US" w:bidi="ar-SA"/>
        </w:rPr>
        <w:t xml:space="preserve">rewizji </w:t>
      </w:r>
      <w:r w:rsidRPr="0FFA3208" w:rsidR="00E52997">
        <w:rPr>
          <w:rFonts w:ascii="Arial" w:hAnsi="Arial" w:eastAsia="Aptos" w:cs="Arial" w:asciiTheme="minorAscii" w:hAnsiTheme="minorAscii" w:eastAsiaTheme="minorAscii" w:cstheme="minorBidi"/>
          <w:b w:val="1"/>
          <w:bCs w:val="1"/>
          <w:i w:val="1"/>
          <w:iCs w:val="1"/>
          <w:smallCaps w:val="1"/>
          <w:color w:val="171717" w:themeColor="background2" w:themeTint="FF" w:themeShade="1A"/>
          <w:sz w:val="36"/>
          <w:szCs w:val="36"/>
          <w:lang w:eastAsia="en-US" w:bidi="ar-SA"/>
        </w:rPr>
        <w:t>str</w:t>
      </w:r>
      <w:r w:rsidRPr="0FFA3208" w:rsidR="00E52997">
        <w:rPr>
          <w:rFonts w:ascii="Arial" w:hAnsi="Arial" w:cs="Arial"/>
          <w:b w:val="1"/>
          <w:bCs w:val="1"/>
          <w:i w:val="1"/>
          <w:iCs w:val="1"/>
          <w:smallCaps w:val="1"/>
          <w:color w:val="171717" w:themeColor="background2" w:themeTint="FF" w:themeShade="1A"/>
          <w:sz w:val="36"/>
          <w:szCs w:val="36"/>
        </w:rPr>
        <w:t>ategii korpora</w:t>
      </w:r>
      <w:r w:rsidRPr="0FFA3208" w:rsidR="00E52997">
        <w:rPr>
          <w:rFonts w:ascii="Arial" w:hAnsi="Arial" w:cs="Arial"/>
          <w:b w:val="1"/>
          <w:bCs w:val="1"/>
          <w:i w:val="1"/>
          <w:iCs w:val="1"/>
          <w:smallCaps w:val="1"/>
          <w:color w:val="171717" w:themeColor="background2" w:themeTint="FF" w:themeShade="1A"/>
          <w:sz w:val="36"/>
          <w:szCs w:val="36"/>
        </w:rPr>
        <w:t>cyjnej</w:t>
      </w:r>
      <w:r w:rsidRPr="0FFA3208" w:rsidR="00056415">
        <w:rPr>
          <w:rFonts w:ascii="Arial" w:hAnsi="Arial" w:cs="Arial"/>
          <w:i w:val="1"/>
          <w:iCs w:val="1"/>
          <w:smallCaps w:val="1"/>
          <w:color w:val="171717" w:themeColor="background2" w:themeTint="FF" w:themeShade="1A"/>
          <w:sz w:val="36"/>
          <w:szCs w:val="36"/>
        </w:rPr>
        <w:t>-</w:t>
      </w:r>
    </w:p>
    <w:p w:rsidRPr="00E52997" w:rsidR="00F95BD8" w:rsidRDefault="00056415" w14:paraId="09B8B721" w14:textId="77777777">
      <w:pPr>
        <w:jc w:val="left"/>
        <w:rPr>
          <w:rFonts w:asciiTheme="majorHAnsi" w:hAnsiTheme="majorHAnsi" w:eastAsiaTheme="majorEastAsia" w:cstheme="majorBidi"/>
          <w:color w:val="2E74B5" w:themeColor="accent1" w:themeShade="BF"/>
          <w:sz w:val="40"/>
          <w:szCs w:val="40"/>
        </w:rPr>
      </w:pPr>
      <w:r w:rsidRPr="00E52997">
        <w:br w:type="page"/>
      </w:r>
    </w:p>
    <w:sdt>
      <w:sdtPr>
        <w:id w:val="-1535804693"/>
        <w:docPartObj>
          <w:docPartGallery w:val="Table of Contents"/>
          <w:docPartUnique/>
        </w:docPartObj>
        <w:rPr>
          <w:rFonts w:ascii="Aptos" w:hAnsi="Aptos" w:eastAsia="Aptos" w:cs="" w:asciiTheme="minorAscii" w:hAnsiTheme="minorAscii" w:eastAsiaTheme="minorAscii" w:cstheme="minorBidi"/>
          <w:color w:val="auto"/>
          <w:kern w:val="2"/>
          <w:sz w:val="22"/>
          <w:szCs w:val="22"/>
          <w:lang w:eastAsia="en-US"/>
          <w14:ligatures w14:val="standardContextual"/>
        </w:rPr>
      </w:sdtPr>
      <w:sdtEndPr>
        <w:rPr>
          <w:rFonts w:ascii="Arial" w:hAnsi="Arial" w:eastAsia="Aptos" w:cs="Arial" w:asciiTheme="minorAscii" w:hAnsiTheme="minorAscii" w:eastAsiaTheme="minorAscii" w:cstheme="minorBidi"/>
          <w:b w:val="1"/>
          <w:bCs w:val="1"/>
          <w:color w:val="auto"/>
          <w:sz w:val="24"/>
          <w:szCs w:val="24"/>
          <w:lang w:eastAsia="en-US"/>
        </w:rPr>
      </w:sdtEndPr>
      <w:sdtContent>
        <w:p w:rsidRPr="00F95BD8" w:rsidR="00F95BD8" w:rsidRDefault="00F95BD8" w14:paraId="0E562F01" w14:textId="0D3FE840">
          <w:pPr>
            <w:pStyle w:val="Nagwekspisutreci"/>
            <w:rPr>
              <w:b/>
              <w:bCs/>
              <w:color w:val="auto"/>
              <w:kern w:val="2"/>
              <w:sz w:val="40"/>
              <w:szCs w:val="40"/>
              <w:lang w:val="en-AU" w:eastAsia="en-US"/>
              <w14:ligatures w14:val="standardContextual"/>
            </w:rPr>
          </w:pPr>
          <w:proofErr w:type="spellStart"/>
          <w:r w:rsidRPr="00F95BD8">
            <w:rPr>
              <w:b/>
              <w:bCs/>
              <w:color w:val="auto"/>
              <w:kern w:val="2"/>
              <w:sz w:val="40"/>
              <w:szCs w:val="40"/>
              <w:lang w:val="en-AU" w:eastAsia="en-US"/>
              <w14:ligatures w14:val="standardContextual"/>
            </w:rPr>
            <w:t>Spis</w:t>
          </w:r>
          <w:proofErr w:type="spellEnd"/>
          <w:r w:rsidRPr="00F95BD8">
            <w:rPr>
              <w:b/>
              <w:bCs/>
              <w:color w:val="auto"/>
              <w:kern w:val="2"/>
              <w:sz w:val="40"/>
              <w:szCs w:val="40"/>
              <w:lang w:val="en-AU" w:eastAsia="en-US"/>
              <w14:ligatures w14:val="standardContextual"/>
            </w:rPr>
            <w:t xml:space="preserve"> </w:t>
          </w:r>
          <w:proofErr w:type="spellStart"/>
          <w:r w:rsidRPr="00F95BD8">
            <w:rPr>
              <w:b/>
              <w:bCs/>
              <w:color w:val="auto"/>
              <w:kern w:val="2"/>
              <w:sz w:val="40"/>
              <w:szCs w:val="40"/>
              <w:lang w:val="en-AU" w:eastAsia="en-US"/>
              <w14:ligatures w14:val="standardContextual"/>
            </w:rPr>
            <w:t>treści</w:t>
          </w:r>
          <w:proofErr w:type="spellEnd"/>
        </w:p>
        <w:p w:rsidR="00F95BD8" w:rsidP="00DE5292" w:rsidRDefault="00F95BD8" w14:paraId="6DD19B7C" w14:textId="77777777">
          <w:pPr>
            <w:pStyle w:val="Spistreci1"/>
          </w:pPr>
        </w:p>
        <w:p w:rsidR="00F95BD8" w:rsidP="00DE5292" w:rsidRDefault="00F95BD8" w14:paraId="42C94758" w14:textId="77777777">
          <w:pPr>
            <w:pStyle w:val="Spistreci1"/>
          </w:pPr>
        </w:p>
        <w:p w:rsidR="00F95BD8" w:rsidP="0FFA3208" w:rsidRDefault="00F95BD8" w14:paraId="1748CBAA" w14:textId="591BBC13">
          <w:pPr>
            <w:pStyle w:val="Spistreci1"/>
            <w:tabs>
              <w:tab w:val="right" w:leader="dot" w:pos="9060"/>
            </w:tabs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r>
            <w:fldChar w:fldCharType="begin"/>
          </w:r>
          <w:r>
            <w:instrText xml:space="preserve">HYPERLINK  \l  "_Toc1193181826" </w:instrText>
          </w:r>
          <w:r>
            <w:fldChar w:fldCharType="separate"/>
          </w:r>
          <w:r w:rsidRPr="0FFA3208" w:rsidR="0FFA3208">
            <w:rPr>
              <w:rStyle w:val="Hipercze"/>
            </w:rPr>
            <w:t>Wstęp</w:t>
          </w:r>
          <w:r>
            <w:tab/>
          </w:r>
          <w:r>
            <w:fldChar w:fldCharType="begin"/>
          </w:r>
          <w:r>
            <w:instrText xml:space="preserve">PAGEREF _Toc1193181826 \h</w:instrText>
          </w:r>
          <w:r>
            <w:fldChar w:fldCharType="separate"/>
          </w:r>
          <w:r w:rsidRPr="0FFA3208" w:rsidR="0FFA3208">
            <w:rPr>
              <w:rStyle w:val="Hipercze"/>
            </w:rPr>
            <w:t>2</w:t>
          </w:r>
          <w:r>
            <w:fldChar w:fldCharType="end"/>
          </w:r>
          <w:r>
            <w:fldChar w:fldCharType="end"/>
          </w:r>
        </w:p>
        <w:p w:rsidRPr="00DE5292" w:rsidR="00F95BD8" w:rsidP="0FFA3208" w:rsidRDefault="00F95BD8" w14:paraId="0636BD91" w14:textId="24385027">
          <w:pPr>
            <w:pStyle w:val="Spistreci1"/>
            <w:tabs>
              <w:tab w:val="left" w:leader="none" w:pos="480"/>
              <w:tab w:val="right" w:leader="dot" w:pos="9060"/>
            </w:tabs>
          </w:pPr>
          <w:r>
            <w:fldChar w:fldCharType="begin"/>
          </w:r>
          <w:r>
            <w:instrText xml:space="preserve">HYPERLINK  \l  "_Toc1989777493" </w:instrText>
          </w:r>
          <w:r>
            <w:fldChar w:fldCharType="separate"/>
          </w:r>
          <w:r w:rsidRPr="0FFA3208" w:rsidR="0FFA3208">
            <w:rPr>
              <w:rStyle w:val="Hipercze"/>
            </w:rPr>
            <w:t>1.</w:t>
          </w:r>
          <w:r>
            <w:tab/>
          </w:r>
          <w:r w:rsidRPr="0FFA3208" w:rsidR="0FFA3208">
            <w:rPr>
              <w:rStyle w:val="Hipercze"/>
            </w:rPr>
            <w:t>Funkcjonalności weryfikowane na podstawie prezentacji rozwiązania bez reżimu Use case ORLEN</w:t>
          </w:r>
          <w:r>
            <w:tab/>
          </w:r>
          <w:r>
            <w:fldChar w:fldCharType="begin"/>
          </w:r>
          <w:r>
            <w:instrText xml:space="preserve">PAGEREF _Toc1989777493 \h</w:instrText>
          </w:r>
          <w:r>
            <w:fldChar w:fldCharType="separate"/>
          </w:r>
          <w:r w:rsidRPr="0FFA3208" w:rsidR="0FFA3208">
            <w:rPr>
              <w:rStyle w:val="Hipercze"/>
            </w:rPr>
            <w:t>4</w:t>
          </w:r>
          <w:r>
            <w:fldChar w:fldCharType="end"/>
          </w:r>
          <w:r>
            <w:fldChar w:fldCharType="end"/>
          </w:r>
        </w:p>
        <w:p w:rsidRPr="00DE5292" w:rsidR="00F95BD8" w:rsidP="0FFA3208" w:rsidRDefault="00F95BD8" w14:paraId="5EB9FE24" w14:textId="6A652928">
          <w:pPr>
            <w:pStyle w:val="Spistreci1"/>
            <w:tabs>
              <w:tab w:val="left" w:leader="none" w:pos="480"/>
              <w:tab w:val="right" w:leader="dot" w:pos="9060"/>
            </w:tabs>
          </w:pPr>
          <w:r>
            <w:fldChar w:fldCharType="begin"/>
          </w:r>
          <w:r>
            <w:instrText xml:space="preserve">HYPERLINK  \l  "_Toc53927558" </w:instrText>
          </w:r>
          <w:r>
            <w:fldChar w:fldCharType="separate"/>
          </w:r>
          <w:r w:rsidRPr="0FFA3208" w:rsidR="0FFA3208">
            <w:rPr>
              <w:rStyle w:val="Hipercze"/>
            </w:rPr>
            <w:t>2.</w:t>
          </w:r>
          <w:r>
            <w:tab/>
          </w:r>
          <w:r w:rsidRPr="0FFA3208" w:rsidR="0FFA3208">
            <w:rPr>
              <w:rStyle w:val="Hipercze"/>
            </w:rPr>
            <w:t>Funkcjonalności weryfikowane na podstawie prezentacji rozwiązania w reżimie Use case ORLEN</w:t>
          </w:r>
          <w:r>
            <w:tab/>
          </w:r>
          <w:r>
            <w:fldChar w:fldCharType="begin"/>
          </w:r>
          <w:r>
            <w:instrText xml:space="preserve">PAGEREF _Toc53927558 \h</w:instrText>
          </w:r>
          <w:r>
            <w:fldChar w:fldCharType="separate"/>
          </w:r>
          <w:r w:rsidRPr="0FFA3208" w:rsidR="0FFA3208">
            <w:rPr>
              <w:rStyle w:val="Hipercze"/>
            </w:rPr>
            <w:t>4</w:t>
          </w:r>
          <w:r>
            <w:fldChar w:fldCharType="end"/>
          </w:r>
          <w:r>
            <w:fldChar w:fldCharType="end"/>
          </w:r>
        </w:p>
        <w:p w:rsidRPr="00DE5292" w:rsidR="00F95BD8" w:rsidP="0FFA3208" w:rsidRDefault="00F95BD8" w14:paraId="2480D864" w14:textId="08B97D81">
          <w:pPr>
            <w:pStyle w:val="Spistreci1"/>
            <w:tabs>
              <w:tab w:val="right" w:leader="dot" w:pos="9060"/>
            </w:tabs>
          </w:pPr>
          <w:r>
            <w:fldChar w:fldCharType="begin"/>
          </w:r>
          <w:r>
            <w:instrText xml:space="preserve">HYPERLINK  \l  "_Toc1786623550" </w:instrText>
          </w:r>
          <w:r>
            <w:fldChar w:fldCharType="separate"/>
          </w:r>
          <w:r w:rsidRPr="0FFA3208" w:rsidR="0FFA3208">
            <w:rPr>
              <w:rStyle w:val="Hipercze"/>
            </w:rPr>
            <w:t>Use case 1 - Opracowanie założeń do strategii korporacyjnej</w:t>
          </w:r>
          <w:r>
            <w:tab/>
          </w:r>
          <w:r>
            <w:fldChar w:fldCharType="begin"/>
          </w:r>
          <w:r>
            <w:instrText xml:space="preserve">PAGEREF _Toc1786623550 \h</w:instrText>
          </w:r>
          <w:r>
            <w:fldChar w:fldCharType="separate"/>
          </w:r>
          <w:r w:rsidRPr="0FFA3208" w:rsidR="0FFA3208">
            <w:rPr>
              <w:rStyle w:val="Hipercze"/>
            </w:rPr>
            <w:t>5</w:t>
          </w:r>
          <w:r>
            <w:fldChar w:fldCharType="end"/>
          </w:r>
          <w:r>
            <w:fldChar w:fldCharType="end"/>
          </w:r>
        </w:p>
        <w:p w:rsidR="00F95BD8" w:rsidP="0FFA3208" w:rsidRDefault="00F95BD8" w14:paraId="20578C90" w14:textId="5719FAF2">
          <w:pPr>
            <w:pStyle w:val="Spistreci1"/>
            <w:tabs>
              <w:tab w:val="right" w:leader="dot" w:pos="9060"/>
            </w:tabs>
          </w:pPr>
          <w:r>
            <w:fldChar w:fldCharType="begin"/>
          </w:r>
          <w:r>
            <w:instrText xml:space="preserve">HYPERLINK  \l  "_Toc574504020" </w:instrText>
          </w:r>
          <w:r>
            <w:fldChar w:fldCharType="separate"/>
          </w:r>
          <w:r w:rsidRPr="0FFA3208" w:rsidR="0FFA3208">
            <w:rPr>
              <w:rStyle w:val="Hipercze"/>
            </w:rPr>
            <w:t>Metryka Use case</w:t>
          </w:r>
          <w:r>
            <w:tab/>
          </w:r>
          <w:r>
            <w:fldChar w:fldCharType="begin"/>
          </w:r>
          <w:r>
            <w:instrText xml:space="preserve">PAGEREF _Toc574504020 \h</w:instrText>
          </w:r>
          <w:r>
            <w:fldChar w:fldCharType="separate"/>
          </w:r>
          <w:r w:rsidRPr="0FFA3208" w:rsidR="0FFA3208">
            <w:rPr>
              <w:rStyle w:val="Hipercze"/>
            </w:rPr>
            <w:t>5</w:t>
          </w:r>
          <w:r>
            <w:fldChar w:fldCharType="end"/>
          </w:r>
          <w:r>
            <w:fldChar w:fldCharType="end"/>
          </w:r>
        </w:p>
        <w:p w:rsidRPr="00DE5292" w:rsidR="00DE5292" w:rsidP="0FFA3208" w:rsidRDefault="00DE5292" w14:paraId="5AF1E258" w14:textId="2745F8F1">
          <w:pPr>
            <w:pStyle w:val="Spistreci1"/>
            <w:tabs>
              <w:tab w:val="left" w:leader="none" w:pos="960"/>
              <w:tab w:val="right" w:leader="dot" w:pos="9060"/>
            </w:tabs>
          </w:pPr>
          <w:r>
            <w:fldChar w:fldCharType="begin"/>
          </w:r>
          <w:r>
            <w:instrText xml:space="preserve">HYPERLINK  \l  "_Toc817200801" </w:instrText>
          </w:r>
          <w:r>
            <w:fldChar w:fldCharType="separate"/>
          </w:r>
          <w:r w:rsidRPr="0FFA3208" w:rsidR="0FFA3208">
            <w:rPr>
              <w:rStyle w:val="Hipercze"/>
            </w:rPr>
            <w:t>1.1.1.</w:t>
          </w:r>
          <w:r>
            <w:tab/>
          </w:r>
          <w:r w:rsidRPr="0FFA3208" w:rsidR="0FFA3208">
            <w:rPr>
              <w:rStyle w:val="Hipercze"/>
            </w:rPr>
            <w:t>Opis Use case</w:t>
          </w:r>
          <w:r>
            <w:tab/>
          </w:r>
          <w:r>
            <w:fldChar w:fldCharType="begin"/>
          </w:r>
          <w:r>
            <w:instrText xml:space="preserve">PAGEREF _Toc817200801 \h</w:instrText>
          </w:r>
          <w:r>
            <w:fldChar w:fldCharType="separate"/>
          </w:r>
          <w:r w:rsidRPr="0FFA3208" w:rsidR="0FFA3208">
            <w:rPr>
              <w:rStyle w:val="Hipercze"/>
            </w:rPr>
            <w:t>8</w:t>
          </w:r>
          <w:r>
            <w:fldChar w:fldCharType="end"/>
          </w:r>
          <w:r>
            <w:fldChar w:fldCharType="end"/>
          </w:r>
        </w:p>
        <w:p w:rsidRPr="00DE5292" w:rsidR="00F95BD8" w:rsidP="0FFA3208" w:rsidRDefault="00F95BD8" w14:paraId="59B82FDA" w14:textId="69C00B58">
          <w:pPr>
            <w:pStyle w:val="Spistreci1"/>
            <w:tabs>
              <w:tab w:val="left" w:leader="none" w:pos="960"/>
              <w:tab w:val="right" w:leader="dot" w:pos="9060"/>
            </w:tabs>
          </w:pPr>
          <w:r>
            <w:fldChar w:fldCharType="begin"/>
          </w:r>
          <w:r>
            <w:instrText xml:space="preserve">HYPERLINK  \l  "_Toc784312487" </w:instrText>
          </w:r>
          <w:r>
            <w:fldChar w:fldCharType="separate"/>
          </w:r>
          <w:r w:rsidRPr="0FFA3208" w:rsidR="0FFA3208">
            <w:rPr>
              <w:rStyle w:val="Hipercze"/>
            </w:rPr>
            <w:t>1.1.2.</w:t>
          </w:r>
          <w:r>
            <w:tab/>
          </w:r>
          <w:r w:rsidRPr="0FFA3208" w:rsidR="0FFA3208">
            <w:rPr>
              <w:rStyle w:val="Hipercze"/>
            </w:rPr>
            <w:t>Sposób przedstawienia funkcjonalności</w:t>
          </w:r>
          <w:r>
            <w:tab/>
          </w:r>
          <w:r>
            <w:fldChar w:fldCharType="begin"/>
          </w:r>
          <w:r>
            <w:instrText xml:space="preserve">PAGEREF _Toc784312487 \h</w:instrText>
          </w:r>
          <w:r>
            <w:fldChar w:fldCharType="separate"/>
          </w:r>
          <w:r w:rsidRPr="0FFA3208" w:rsidR="0FFA3208">
            <w:rPr>
              <w:rStyle w:val="Hipercze"/>
            </w:rPr>
            <w:t>8</w:t>
          </w:r>
          <w:r>
            <w:fldChar w:fldCharType="end"/>
          </w:r>
          <w:r>
            <w:fldChar w:fldCharType="end"/>
          </w:r>
        </w:p>
        <w:p w:rsidR="00F95BD8" w:rsidRDefault="00F95BD8" w14:paraId="1B55EDD1" w14:textId="126A25FC">
          <w:r w:rsidRPr="00F95BD8">
            <w:rPr>
              <w:rFonts w:ascii="Arial" w:hAnsi="Arial" w:cs="Arial"/>
              <w:b/>
              <w:bCs/>
              <w:sz w:val="24"/>
              <w:szCs w:val="24"/>
            </w:rPr>
            <w:fldChar w:fldCharType="end"/>
          </w:r>
        </w:p>
      </w:sdtContent>
    </w:sdt>
    <w:p w:rsidR="00FA0477" w:rsidRDefault="00FA0477" w14:paraId="059E2E69" w14:textId="6C2605C8">
      <w:pPr>
        <w:jc w:val="left"/>
        <w:rPr>
          <w:rFonts w:asciiTheme="majorHAnsi" w:hAnsiTheme="majorHAnsi" w:eastAsiaTheme="majorEastAsia" w:cstheme="majorBidi"/>
          <w:color w:val="2E74B5" w:themeColor="accent1" w:themeShade="BF"/>
          <w:sz w:val="40"/>
          <w:szCs w:val="40"/>
          <w:lang w:val="en-AU"/>
        </w:rPr>
      </w:pPr>
      <w:r>
        <w:rPr>
          <w:lang w:val="en-AU"/>
        </w:rPr>
        <w:br w:type="page"/>
      </w:r>
    </w:p>
    <w:p w:rsidRPr="005C0E39" w:rsidR="00FA0477" w:rsidP="00FA0477" w:rsidRDefault="00FA0477" w14:paraId="10108F88" w14:textId="62D7A33C">
      <w:pPr>
        <w:pStyle w:val="Nagwek1"/>
        <w:rPr>
          <w:b w:val="1"/>
          <w:bCs w:val="1"/>
          <w:color w:val="auto"/>
        </w:rPr>
      </w:pPr>
      <w:bookmarkStart w:name="_Toc1193181826" w:id="2091629352"/>
      <w:r w:rsidRPr="0FFA3208" w:rsidR="00FA0477">
        <w:rPr>
          <w:b w:val="1"/>
          <w:bCs w:val="1"/>
          <w:color w:val="auto"/>
        </w:rPr>
        <w:t>Wstęp</w:t>
      </w:r>
      <w:bookmarkEnd w:id="2091629352"/>
    </w:p>
    <w:p w:rsidRPr="00D43D54" w:rsidR="00D43D54" w:rsidP="00D43D54" w:rsidRDefault="00D43D54" w14:paraId="62671019" w14:textId="513F255E">
      <w:r w:rsidR="00D43D54">
        <w:rPr/>
        <w:t xml:space="preserve">Celem niniejszego </w:t>
      </w:r>
      <w:r w:rsidR="000B4190">
        <w:rPr/>
        <w:t>Use</w:t>
      </w:r>
      <w:r w:rsidR="000B4190">
        <w:rPr/>
        <w:t xml:space="preserve"> </w:t>
      </w:r>
      <w:r w:rsidR="254FD830">
        <w:rPr/>
        <w:t>C</w:t>
      </w:r>
      <w:r w:rsidR="000B4190">
        <w:rPr/>
        <w:t>ase</w:t>
      </w:r>
      <w:r w:rsidR="00D43D54">
        <w:rPr/>
        <w:t xml:space="preserve"> jest weryfikacja funkcjonalności systemu klasy </w:t>
      </w:r>
      <w:r w:rsidRPr="0FFA3208" w:rsidR="00D43D54">
        <w:rPr>
          <w:b w:val="1"/>
          <w:bCs w:val="1"/>
        </w:rPr>
        <w:t>EPM (Enterprise Performance Management)</w:t>
      </w:r>
      <w:r w:rsidR="00D43D54">
        <w:rPr/>
        <w:t xml:space="preserve">, który posiada wbudowane wybrane funkcjonalności systemu klasy </w:t>
      </w:r>
      <w:r w:rsidRPr="0FFA3208" w:rsidR="00D43D54">
        <w:rPr>
          <w:b w:val="1"/>
          <w:bCs w:val="1"/>
        </w:rPr>
        <w:t>SPM (Strategic Performance Management)</w:t>
      </w:r>
      <w:r w:rsidR="00D43D54">
        <w:rPr/>
        <w:t xml:space="preserve"> w procesie opracowania założeń wsadowych dla strategii korporacyjnej Grupy ORLEN lub też procesu jej aktualizacji.</w:t>
      </w:r>
    </w:p>
    <w:p w:rsidRPr="00D43D54" w:rsidR="00D43D54" w:rsidP="00D43D54" w:rsidRDefault="00D43D54" w14:paraId="26E17C1B" w14:textId="77777777">
      <w:r w:rsidRPr="00D43D54">
        <w:t>Proces opiera się na wnioskach z:</w:t>
      </w:r>
    </w:p>
    <w:p w:rsidRPr="00D43D54" w:rsidR="00D43D54" w:rsidP="00D43D54" w:rsidRDefault="00D43D54" w14:paraId="3362D64D" w14:textId="77777777">
      <w:pPr>
        <w:numPr>
          <w:ilvl w:val="0"/>
          <w:numId w:val="5"/>
        </w:numPr>
      </w:pPr>
      <w:r w:rsidRPr="00D43D54">
        <w:t>monitorowania strategii korporacyjnej,</w:t>
      </w:r>
    </w:p>
    <w:p w:rsidRPr="00D43D54" w:rsidR="00D43D54" w:rsidP="00D43D54" w:rsidRDefault="00D43D54" w14:paraId="71C40E2E" w14:textId="77777777">
      <w:pPr>
        <w:numPr>
          <w:ilvl w:val="0"/>
          <w:numId w:val="5"/>
        </w:numPr>
      </w:pPr>
      <w:r w:rsidRPr="00D43D54">
        <w:t>monitorowania programów i inicjatyw strategicznych,</w:t>
      </w:r>
    </w:p>
    <w:p w:rsidRPr="00D43D54" w:rsidR="00D43D54" w:rsidP="00D43D54" w:rsidRDefault="00D43D54" w14:paraId="0960DC1F" w14:textId="77777777">
      <w:pPr>
        <w:numPr>
          <w:ilvl w:val="0"/>
          <w:numId w:val="5"/>
        </w:numPr>
        <w:rPr/>
      </w:pPr>
      <w:r w:rsidR="00D43D54">
        <w:rPr/>
        <w:t>monitorowania projektów strategicznych,</w:t>
      </w:r>
    </w:p>
    <w:p w:rsidR="292F98FB" w:rsidP="0FFA3208" w:rsidRDefault="292F98FB" w14:paraId="1A2FB704" w14:textId="53828717">
      <w:pPr>
        <w:pStyle w:val="Normalny"/>
        <w:numPr>
          <w:ilvl w:val="0"/>
          <w:numId w:val="5"/>
        </w:numPr>
        <w:suppressLineNumbers w:val="0"/>
        <w:bidi w:val="0"/>
        <w:spacing w:before="0" w:beforeAutospacing="off" w:after="160" w:afterAutospacing="off" w:line="259" w:lineRule="auto"/>
        <w:ind w:left="720" w:right="0" w:hanging="360"/>
        <w:jc w:val="both"/>
        <w:rPr>
          <w:noProof w:val="0"/>
          <w:lang w:val="pl-PL"/>
        </w:rPr>
      </w:pPr>
      <w:r w:rsidRPr="0FFA3208" w:rsidR="292F98FB">
        <w:rPr>
          <w:noProof w:val="0"/>
          <w:lang w:val="pl-PL"/>
        </w:rPr>
        <w:t xml:space="preserve">Przeglądu wynikającego z funkcji inteligencji strategicznej i modelu wspierania podejmowania decyzji (monitoring otoczenia, konkurencji, regulacji, makroekonomii, ESG, geopolityki oraz wbudowany system wczesnego ostrzegania do oceny wpływu zdarzeń zewnętrznych, oceny </w:t>
      </w:r>
      <w:r w:rsidRPr="0FFA3208" w:rsidR="292F98FB">
        <w:rPr>
          <w:noProof w:val="0"/>
          <w:lang w:val="pl-PL"/>
        </w:rPr>
        <w:t>ryzyk</w:t>
      </w:r>
      <w:r w:rsidRPr="0FFA3208" w:rsidR="292F98FB">
        <w:rPr>
          <w:noProof w:val="0"/>
          <w:lang w:val="pl-PL"/>
        </w:rPr>
        <w:t xml:space="preserve"> i szans z określeniem ich wpływu na realizację inicjatyw strategicznych).</w:t>
      </w:r>
    </w:p>
    <w:p w:rsidRPr="00D43D54" w:rsidR="00D43D54" w:rsidP="00D43D54" w:rsidRDefault="00D43D54" w14:paraId="63E949D5" w14:textId="77777777">
      <w:pPr>
        <w:numPr>
          <w:ilvl w:val="0"/>
          <w:numId w:val="5"/>
        </w:numPr>
      </w:pPr>
      <w:r w:rsidRPr="00D43D54">
        <w:t>hipotezach strategicznych,</w:t>
      </w:r>
    </w:p>
    <w:p w:rsidRPr="00D43D54" w:rsidR="00D43D54" w:rsidP="00D43D54" w:rsidRDefault="00D43D54" w14:paraId="07C24F8B" w14:textId="2489B502">
      <w:pPr>
        <w:numPr>
          <w:ilvl w:val="0"/>
          <w:numId w:val="5"/>
        </w:numPr>
      </w:pPr>
      <w:r w:rsidRPr="00D43D54">
        <w:t>oczekiwaniach interesariuszy,</w:t>
      </w:r>
      <w:r>
        <w:t xml:space="preserve"> </w:t>
      </w:r>
      <w:r w:rsidRPr="00D43D54">
        <w:t>popartych kierunkową mapą drogową wyborów strategicznych dla spółki (odpowiedzi na kluczowe założenia i scenariusze strategiczne).</w:t>
      </w:r>
    </w:p>
    <w:p w:rsidRPr="00D43D54" w:rsidR="00D43D54" w:rsidP="00D43D54" w:rsidRDefault="00D43D54" w14:paraId="44722ED5" w14:textId="77777777">
      <w:r w:rsidRPr="00D43D54">
        <w:rPr>
          <w:b/>
          <w:bCs/>
        </w:rPr>
        <w:t>Analiza obejmuje:</w:t>
      </w:r>
    </w:p>
    <w:p w:rsidRPr="00D43D54" w:rsidR="00D43D54" w:rsidP="00D43D54" w:rsidRDefault="00D43D54" w14:paraId="6B7B8914" w14:textId="77777777">
      <w:pPr>
        <w:numPr>
          <w:ilvl w:val="0"/>
          <w:numId w:val="6"/>
        </w:numPr>
      </w:pPr>
      <w:r w:rsidRPr="00D43D54">
        <w:t>wsparcie dla etapów przygotowania założeń, modelowania scenariuszy, definiowania kierunków rozwoju, opracowania planu strategicznego,</w:t>
      </w:r>
    </w:p>
    <w:p w:rsidRPr="00D43D54" w:rsidR="00D43D54" w:rsidP="00D43D54" w:rsidRDefault="00D43D54" w14:paraId="7D46AD16" w14:textId="77777777">
      <w:pPr>
        <w:numPr>
          <w:ilvl w:val="0"/>
          <w:numId w:val="6"/>
        </w:numPr>
      </w:pPr>
      <w:r w:rsidRPr="00D43D54">
        <w:t>integrację z procesami monitorowania realizacji strategii ORLEN 2035, w tym raportowania KPI, ryzyk i statusów projektów strategicznych oraz wyników procesu monitorowania programów i inicjatyw strategicznych,</w:t>
      </w:r>
    </w:p>
    <w:p w:rsidRPr="00D43D54" w:rsidR="00D43D54" w:rsidP="00D43D54" w:rsidRDefault="00D43D54" w14:paraId="1B6B29B1" w14:textId="77777777">
      <w:pPr>
        <w:numPr>
          <w:ilvl w:val="0"/>
          <w:numId w:val="6"/>
        </w:numPr>
      </w:pPr>
      <w:r w:rsidRPr="00D43D54">
        <w:t>integrację z raportami dotyczącymi hipotez strategicznych oraz oczekiwań interesariuszy.</w:t>
      </w:r>
    </w:p>
    <w:p w:rsidRPr="00D43D54" w:rsidR="00D43D54" w:rsidP="00D43D54" w:rsidRDefault="00D43D54" w14:paraId="792B3926" w14:textId="7C3FF0B1">
      <w:r w:rsidRPr="00D43D54">
        <w:rPr>
          <w:b/>
          <w:bCs/>
        </w:rPr>
        <w:t>Kluczowe dane wsadowe pochodzą z procesów</w:t>
      </w:r>
      <w:r>
        <w:rPr>
          <w:b/>
          <w:bCs/>
        </w:rPr>
        <w:t xml:space="preserve"> [obsługiwanych przez system PPM]</w:t>
      </w:r>
      <w:r w:rsidRPr="00D43D54">
        <w:rPr>
          <w:b/>
          <w:bCs/>
        </w:rPr>
        <w:t>:</w:t>
      </w:r>
    </w:p>
    <w:p w:rsidRPr="00D43D54" w:rsidR="00D43D54" w:rsidP="00D43D54" w:rsidRDefault="00D43D54" w14:paraId="0A3C5C72" w14:textId="33F435F7">
      <w:pPr>
        <w:numPr>
          <w:ilvl w:val="0"/>
          <w:numId w:val="7"/>
        </w:numPr>
      </w:pPr>
      <w:r w:rsidRPr="00D43D54">
        <w:rPr>
          <w:b/>
          <w:bCs/>
        </w:rPr>
        <w:t>A.2.1.1</w:t>
      </w:r>
      <w:r w:rsidRPr="00D43D54">
        <w:t xml:space="preserve"> Rozwój hipotez strategicznych </w:t>
      </w:r>
      <w:r w:rsidR="003C2629">
        <w:t>(zebranie założeń „</w:t>
      </w:r>
      <w:proofErr w:type="spellStart"/>
      <w:r w:rsidR="003C2629">
        <w:t>state</w:t>
      </w:r>
      <w:proofErr w:type="spellEnd"/>
      <w:r w:rsidR="003C2629">
        <w:t xml:space="preserve"> of play”, zbudowanie hipotez strategicznych, testowanie hipotez strategicznych, przedstawienie rekomendacji) </w:t>
      </w:r>
    </w:p>
    <w:p w:rsidRPr="00D43D54" w:rsidR="00D43D54" w:rsidP="00D43D54" w:rsidRDefault="00D43D54" w14:paraId="48B33BC8" w14:textId="51CEE94A">
      <w:pPr>
        <w:numPr>
          <w:ilvl w:val="0"/>
          <w:numId w:val="7"/>
        </w:numPr>
      </w:pPr>
      <w:r w:rsidRPr="00D43D54">
        <w:rPr>
          <w:b/>
          <w:bCs/>
        </w:rPr>
        <w:t>A.2.1.2</w:t>
      </w:r>
      <w:r w:rsidRPr="00D43D54">
        <w:t xml:space="preserve"> Opracowanie wniosków z analizy oczekiwań interesariuszy (m.in. inwestorów, analityków rynkowych, regulatorów)</w:t>
      </w:r>
      <w:r>
        <w:t xml:space="preserve"> </w:t>
      </w:r>
    </w:p>
    <w:p w:rsidRPr="00D43D54" w:rsidR="00D43D54" w:rsidP="00D43D54" w:rsidRDefault="00D43D54" w14:paraId="1F09549B" w14:textId="4296D801">
      <w:pPr>
        <w:numPr>
          <w:ilvl w:val="0"/>
          <w:numId w:val="7"/>
        </w:numPr>
        <w:rPr/>
      </w:pPr>
      <w:r w:rsidRPr="0FFA3208" w:rsidR="00D43D54">
        <w:rPr>
          <w:b w:val="1"/>
          <w:bCs w:val="1"/>
        </w:rPr>
        <w:t>A.2.1.3</w:t>
      </w:r>
      <w:r w:rsidR="00D43D54">
        <w:rPr/>
        <w:t xml:space="preserve"> </w:t>
      </w:r>
      <w:r w:rsidRPr="0FFA3208" w:rsidR="070C0F4D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2"/>
          <w:szCs w:val="22"/>
          <w:lang w:val="pl-PL" w:eastAsia="en-US" w:bidi="ar-SA"/>
        </w:rPr>
        <w:t>O</w:t>
      </w:r>
      <w:r w:rsidRPr="0FFA3208" w:rsidR="070C0F4D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2"/>
          <w:szCs w:val="22"/>
          <w:lang w:val="pl-PL" w:eastAsia="en-US" w:bidi="ar-SA"/>
        </w:rPr>
        <w:t>pr</w:t>
      </w:r>
      <w:r w:rsidRPr="0FFA3208" w:rsidR="070C0F4D">
        <w:rPr>
          <w:rFonts w:ascii="Aptos" w:hAnsi="Aptos" w:eastAsia="Aptos" w:cs="" w:asciiTheme="minorAscii" w:hAnsiTheme="minorAscii" w:eastAsiaTheme="minorAscii" w:cstheme="minorBidi"/>
          <w:noProof w:val="0"/>
          <w:color w:val="auto"/>
          <w:sz w:val="22"/>
          <w:szCs w:val="22"/>
          <w:lang w:val="pl-PL" w:eastAsia="en-US" w:bidi="ar-SA"/>
        </w:rPr>
        <w:t>acowanie wniosków z G1.1. Strategicznej analizy otoczenia zewnętrznego (w postaci analiz m.in. trendów geopolitycznych, makroekonomicznych, rynkowych i regulacyjnych) - w tym realizacji funkcji: inteligencji strategicznej i modelu wspierania podejmowania decyzji (monitoring otoczenia, konkurencji, regulacji, makroekonomii, ESG, geopolityki oraz wbudowany system wczesnego ostrzegania do oceny wpływu zdarzeń zewnętrznych, oceny ryzyk i szans z określeniem ich wpływu na realizację inicjatyw strategicznych).</w:t>
      </w:r>
    </w:p>
    <w:p w:rsidRPr="00D43D54" w:rsidR="00D43D54" w:rsidP="00D43D54" w:rsidRDefault="00D43D54" w14:paraId="43FF75D5" w14:textId="77777777">
      <w:pPr>
        <w:numPr>
          <w:ilvl w:val="0"/>
          <w:numId w:val="7"/>
        </w:numPr>
      </w:pPr>
      <w:r w:rsidRPr="00D43D54">
        <w:rPr>
          <w:b/>
          <w:bCs/>
        </w:rPr>
        <w:t>A.2.1.4</w:t>
      </w:r>
      <w:r w:rsidRPr="00D43D54">
        <w:t xml:space="preserve"> Opracowanie wniosków z G1.2. Monitorowania celów strategicznych,</w:t>
      </w:r>
    </w:p>
    <w:p w:rsidRPr="00D43D54" w:rsidR="00D43D54" w:rsidP="00D43D54" w:rsidRDefault="00D43D54" w14:paraId="3A5836B5" w14:textId="77777777">
      <w:pPr>
        <w:numPr>
          <w:ilvl w:val="0"/>
          <w:numId w:val="7"/>
        </w:numPr>
      </w:pPr>
      <w:r w:rsidRPr="00D43D54">
        <w:rPr>
          <w:b/>
          <w:bCs/>
        </w:rPr>
        <w:t>A.2.1.5</w:t>
      </w:r>
      <w:r w:rsidRPr="00D43D54">
        <w:t xml:space="preserve"> Opracowanie wniosków z G1.3. Monitorowania programów i inicjatyw strategicznych,</w:t>
      </w:r>
    </w:p>
    <w:p w:rsidRPr="00D43D54" w:rsidR="00D43D54" w:rsidP="00D43D54" w:rsidRDefault="00D43D54" w14:paraId="65379EC9" w14:textId="77777777">
      <w:pPr>
        <w:numPr>
          <w:ilvl w:val="0"/>
          <w:numId w:val="7"/>
        </w:numPr>
      </w:pPr>
      <w:r w:rsidRPr="00D43D54">
        <w:rPr>
          <w:b/>
          <w:bCs/>
        </w:rPr>
        <w:t>A.2.1.6</w:t>
      </w:r>
      <w:r w:rsidRPr="00D43D54">
        <w:t xml:space="preserve"> Opracowanie wniosków z G1.4. Monitorowania projektów strategicznych,</w:t>
      </w:r>
    </w:p>
    <w:p w:rsidRPr="00D43D54" w:rsidR="00D43D54" w:rsidP="00D43D54" w:rsidRDefault="00D43D54" w14:paraId="21D3677A" w14:textId="77777777">
      <w:pPr>
        <w:numPr>
          <w:ilvl w:val="0"/>
          <w:numId w:val="7"/>
        </w:numPr>
      </w:pPr>
      <w:r w:rsidRPr="00D43D54">
        <w:rPr>
          <w:b/>
          <w:bCs/>
        </w:rPr>
        <w:t>A.1.1.7</w:t>
      </w:r>
      <w:r w:rsidRPr="00D43D54">
        <w:t xml:space="preserve"> Przygotowanie raportu podsumowującego wnioski (weryfikacja zmian w otoczeniu wewnętrznym i zewnętrznym organizacji, rekomendacja w zakresie potrzeby zmiany strategii korporacyjnej).</w:t>
      </w:r>
    </w:p>
    <w:p w:rsidRPr="00D43D54" w:rsidR="00FA0477" w:rsidP="00D43D54" w:rsidRDefault="005C0E39" w14:paraId="1870B2C2" w14:textId="68A3D2AD">
      <w:r w:rsidRPr="005C0E39">
        <w:t xml:space="preserve">System powinien umożliwiać nie tylko planowanie, ale także ciągłe monitorowanie realizacji </w:t>
      </w:r>
      <w:r w:rsidR="00D43D54">
        <w:t xml:space="preserve">procesu opracowania </w:t>
      </w:r>
      <w:r w:rsidRPr="005C0E39">
        <w:t>strategii</w:t>
      </w:r>
      <w:r w:rsidR="00D43D54">
        <w:t xml:space="preserve"> korporacyjnej</w:t>
      </w:r>
      <w:r w:rsidRPr="005C0E39">
        <w:t xml:space="preserve"> poprzez dashboardy, raporty</w:t>
      </w:r>
      <w:r w:rsidR="00D43D54">
        <w:t xml:space="preserve">, powinien również </w:t>
      </w:r>
      <w:r w:rsidR="00D43D54">
        <w:lastRenderedPageBreak/>
        <w:t>zapewniać obustronną</w:t>
      </w:r>
      <w:r w:rsidRPr="005C0E39">
        <w:t xml:space="preserve"> integrację z</w:t>
      </w:r>
      <w:r w:rsidR="00D43D54">
        <w:t xml:space="preserve"> funkcjonalnościami systemu EPM oraz systemami zewnętrznymi np.</w:t>
      </w:r>
      <w:r w:rsidRPr="005C0E39">
        <w:t xml:space="preserve"> PPM</w:t>
      </w:r>
      <w:r w:rsidR="00D43D54">
        <w:t>, SAP i inne</w:t>
      </w:r>
      <w:r>
        <w:t>.</w:t>
      </w:r>
    </w:p>
    <w:p w:rsidR="00D43D54" w:rsidP="0FFA3208" w:rsidRDefault="00D43D54" w14:paraId="6EFC0953" w14:textId="08B0A338">
      <w:pPr>
        <w:pStyle w:val="Nagwek1"/>
        <w:numPr>
          <w:ilvl w:val="0"/>
          <w:numId w:val="1"/>
        </w:numPr>
        <w:spacing w:before="0" w:after="0" w:line="240" w:lineRule="auto"/>
        <w:ind w:left="425" w:hanging="425"/>
        <w:rPr>
          <w:rFonts w:ascii="Arial" w:hAnsi="Arial" w:cs="Arial"/>
          <w:b w:val="1"/>
          <w:bCs w:val="1"/>
          <w:color w:val="auto"/>
          <w:sz w:val="28"/>
          <w:szCs w:val="28"/>
        </w:rPr>
      </w:pPr>
      <w:bookmarkStart w:name="_Toc1989777493" w:id="253066398"/>
      <w:r w:rsidRPr="0FFA3208" w:rsidR="009A180E">
        <w:rPr>
          <w:rFonts w:ascii="Arial" w:hAnsi="Arial" w:cs="Arial"/>
          <w:b w:val="1"/>
          <w:bCs w:val="1"/>
          <w:color w:val="auto"/>
          <w:sz w:val="28"/>
          <w:szCs w:val="28"/>
        </w:rPr>
        <w:t>Funkcjonalności</w:t>
      </w:r>
      <w:r w:rsidRPr="0FFA3208" w:rsidR="00FA0477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</w:t>
      </w:r>
      <w:r w:rsidRPr="0FFA3208" w:rsidR="009A180E">
        <w:rPr>
          <w:rFonts w:ascii="Arial" w:hAnsi="Arial" w:cs="Arial"/>
          <w:b w:val="1"/>
          <w:bCs w:val="1"/>
          <w:color w:val="auto"/>
          <w:sz w:val="28"/>
          <w:szCs w:val="28"/>
        </w:rPr>
        <w:t>weryfikowane</w:t>
      </w:r>
      <w:r w:rsidRPr="0FFA3208" w:rsidR="00FA0477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na podstawie prezentacji rozwiązania </w:t>
      </w:r>
      <w:r w:rsidRPr="0FFA3208" w:rsidR="009A180E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bez reżimu 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>Use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>case</w:t>
      </w:r>
      <w:r w:rsidRPr="0FFA3208" w:rsidR="009A180E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ORLEN</w:t>
      </w:r>
      <w:bookmarkEnd w:id="253066398"/>
    </w:p>
    <w:p w:rsidR="0FFA3208" w:rsidP="0FFA3208" w:rsidRDefault="0FFA3208" w14:paraId="5D5E1627" w14:textId="1E231EA0">
      <w:pPr>
        <w:pStyle w:val="Normalny"/>
      </w:pPr>
    </w:p>
    <w:p w:rsidR="00D43D54" w:rsidP="00D43D54" w:rsidRDefault="00D43D54" w14:paraId="2C10C7E6" w14:textId="1B8C31CC">
      <w:pPr>
        <w:pStyle w:val="Akapitzlist"/>
        <w:numPr>
          <w:ilvl w:val="0"/>
          <w:numId w:val="7"/>
        </w:numPr>
      </w:pPr>
      <w:r>
        <w:t>Dwukierunkowa</w:t>
      </w:r>
      <w:r w:rsidRPr="005C0E39">
        <w:t xml:space="preserve"> integracj</w:t>
      </w:r>
      <w:r>
        <w:t>a</w:t>
      </w:r>
      <w:r w:rsidRPr="005C0E39">
        <w:t xml:space="preserve"> z</w:t>
      </w:r>
      <w:r>
        <w:t xml:space="preserve"> funkcjonalnościami systemu EPM oraz systemami zewnętrznymi np.</w:t>
      </w:r>
      <w:r w:rsidRPr="005C0E39">
        <w:t xml:space="preserve"> PPM</w:t>
      </w:r>
      <w:r>
        <w:t xml:space="preserve">, SAP, CRIP, platforma danych i inne. </w:t>
      </w:r>
    </w:p>
    <w:p w:rsidR="00D43D54" w:rsidP="00D43D54" w:rsidRDefault="00D43D54" w14:paraId="36F0310A" w14:textId="401DBB66">
      <w:pPr>
        <w:pStyle w:val="Akapitzlist"/>
        <w:numPr>
          <w:ilvl w:val="0"/>
          <w:numId w:val="7"/>
        </w:numPr>
      </w:pPr>
      <w:r>
        <w:t>Import założeń i danych systemowych stanowiących produkty prac procesów innych procesów, będących źródłem zasilana do procesu A.2 Strategia korporacyjna w ramach działania podsumowania wniosków z przeglądu strategicznego.</w:t>
      </w:r>
    </w:p>
    <w:p w:rsidRPr="00D43D54" w:rsidR="00D43D54" w:rsidP="00D43D54" w:rsidRDefault="00D43D54" w14:paraId="45447885" w14:textId="69CB27DF">
      <w:pPr>
        <w:pStyle w:val="Akapitzlist"/>
        <w:numPr>
          <w:ilvl w:val="0"/>
          <w:numId w:val="7"/>
        </w:numPr>
      </w:pPr>
      <w:r w:rsidRPr="00D43D54">
        <w:t xml:space="preserve">Dashboardy i wizualizacje KPI (PowerBI lub wbudowane narzędzia), </w:t>
      </w:r>
    </w:p>
    <w:p w:rsidRPr="00D43D54" w:rsidR="00D43D54" w:rsidP="00D43D54" w:rsidRDefault="00D43D54" w14:paraId="4D0DF8CB" w14:textId="7DDF7829">
      <w:pPr>
        <w:pStyle w:val="Akapitzlist"/>
        <w:numPr>
          <w:ilvl w:val="0"/>
          <w:numId w:val="7"/>
        </w:numPr>
      </w:pPr>
      <w:r w:rsidRPr="00D43D54">
        <w:t xml:space="preserve">Obsługa workflow dla zatwierdzania założeń i dokumentów, </w:t>
      </w:r>
    </w:p>
    <w:p w:rsidR="00D43D54" w:rsidP="00D43D54" w:rsidRDefault="00D43D54" w14:paraId="278BB54A" w14:textId="6E1434EE">
      <w:pPr>
        <w:pStyle w:val="Akapitzlist"/>
        <w:numPr>
          <w:ilvl w:val="0"/>
          <w:numId w:val="7"/>
        </w:numPr>
      </w:pPr>
      <w:r w:rsidRPr="00D43D54">
        <w:t>Raportowanie zgodne z formatkami ORLEN (status projektów, analiza ryzyk, PESTEL).</w:t>
      </w:r>
    </w:p>
    <w:p w:rsidR="00D43D54" w:rsidP="00D43D54" w:rsidRDefault="00D43D54" w14:paraId="18BD1A9F" w14:textId="1682F134">
      <w:pPr>
        <w:pStyle w:val="Akapitzlist"/>
        <w:numPr>
          <w:ilvl w:val="0"/>
          <w:numId w:val="7"/>
        </w:numPr>
      </w:pPr>
      <w:r>
        <w:t xml:space="preserve">Wytyczne dotyczące założeń dla procesu CAPEX </w:t>
      </w:r>
      <w:proofErr w:type="spellStart"/>
      <w:r>
        <w:t>Allocation</w:t>
      </w:r>
      <w:proofErr w:type="spellEnd"/>
      <w:r w:rsidR="000B2B94">
        <w:t xml:space="preserve"> (D1. Opcje inwestycyjne, D.2 Pomiar wartości) wraz z określeniem potencjału do kreowania przedziałów wynikowych (EBITDA)</w:t>
      </w:r>
    </w:p>
    <w:p w:rsidR="00D43D54" w:rsidP="00D43D54" w:rsidRDefault="00D43D54" w14:paraId="4E60EAE8" w14:textId="11CE88F4">
      <w:pPr>
        <w:pStyle w:val="Akapitzlist"/>
        <w:numPr>
          <w:ilvl w:val="0"/>
          <w:numId w:val="7"/>
        </w:numPr>
      </w:pPr>
      <w:r>
        <w:t>Integracja z narzędziami AI obsługiwanymi przez ORLEN w przedmiotowym.</w:t>
      </w:r>
    </w:p>
    <w:p w:rsidR="00D43D54" w:rsidP="005C0E39" w:rsidRDefault="00D43D54" w14:paraId="3B4E8914" w14:textId="77777777"/>
    <w:p w:rsidRPr="005C0E39" w:rsidR="005C0E39" w:rsidP="005C0E39" w:rsidRDefault="005C0E39" w14:paraId="53981D60" w14:textId="77777777"/>
    <w:p w:rsidRPr="00FA0477" w:rsidR="00FA0477" w:rsidP="00FA0477" w:rsidRDefault="00FA0477" w14:paraId="1E2DA297" w14:textId="2EF8C37F">
      <w:pPr>
        <w:pStyle w:val="Nagwek1"/>
        <w:rPr>
          <w:b/>
          <w:bCs/>
        </w:rPr>
      </w:pPr>
      <w:r w:rsidRPr="00FA0477">
        <w:rPr>
          <w:b/>
          <w:bCs/>
        </w:rPr>
        <w:br w:type="page"/>
      </w:r>
    </w:p>
    <w:p w:rsidRPr="009A180E" w:rsidR="009A180E" w:rsidP="009A180E" w:rsidRDefault="009A180E" w14:paraId="0B594285" w14:textId="3463CB84">
      <w:pPr>
        <w:pStyle w:val="Nagwek1"/>
        <w:numPr>
          <w:ilvl w:val="0"/>
          <w:numId w:val="1"/>
        </w:numPr>
        <w:spacing w:before="0" w:after="0" w:line="240" w:lineRule="auto"/>
        <w:ind w:left="425" w:hanging="425"/>
        <w:rPr>
          <w:rFonts w:ascii="Arial" w:hAnsi="Arial" w:cs="Arial"/>
          <w:b w:val="1"/>
          <w:bCs w:val="1"/>
          <w:color w:val="auto"/>
          <w:sz w:val="28"/>
          <w:szCs w:val="28"/>
        </w:rPr>
      </w:pPr>
      <w:bookmarkStart w:name="_Toc53927558" w:id="716222249"/>
      <w:r w:rsidRPr="0FFA3208" w:rsidR="009A180E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Funkcjonalności weryfikowane na podstawie prezentacji rozwiązania w reżimie 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>Use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case</w:t>
      </w:r>
      <w:r w:rsidRPr="0FFA3208" w:rsidR="009A180E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ORLEN</w:t>
      </w:r>
      <w:bookmarkEnd w:id="716222249"/>
    </w:p>
    <w:p w:rsidR="00FA0477" w:rsidRDefault="00FA0477" w14:paraId="64EC3DCD" w14:textId="75B2AE5A"/>
    <w:p w:rsidRPr="00D43D54" w:rsidR="00D43D54" w:rsidP="00D43D54" w:rsidRDefault="00D43D54" w14:paraId="03E93E10" w14:textId="77777777">
      <w:r w:rsidRPr="00D43D54">
        <w:t>System powinien umożliwiać:</w:t>
      </w:r>
    </w:p>
    <w:p w:rsidRPr="00D43D54" w:rsidR="00D43D54" w:rsidP="00D43D54" w:rsidRDefault="00D43D54" w14:paraId="25FEA835" w14:textId="5F2CEA9D">
      <w:pPr>
        <w:numPr>
          <w:ilvl w:val="0"/>
          <w:numId w:val="9"/>
        </w:numPr>
        <w:rPr/>
      </w:pPr>
      <w:r w:rsidR="00D43D54">
        <w:rPr/>
        <w:t>Konsolidację danych z przeglądu strategicznego i analiz otoczenia</w:t>
      </w:r>
      <w:r w:rsidR="7D0A03ED">
        <w:rPr/>
        <w:t xml:space="preserve"> / funkcji integligencji strategiczne</w:t>
      </w:r>
      <w:r w:rsidR="00D43D54">
        <w:rPr/>
        <w:t>,</w:t>
      </w:r>
    </w:p>
    <w:p w:rsidRPr="00D43D54" w:rsidR="00D43D54" w:rsidP="00D43D54" w:rsidRDefault="00D43D54" w14:paraId="3587BC2A" w14:textId="77777777">
      <w:pPr>
        <w:numPr>
          <w:ilvl w:val="0"/>
          <w:numId w:val="9"/>
        </w:numPr>
      </w:pPr>
      <w:r w:rsidRPr="00D43D54">
        <w:t>Modelowanie scenariuszy strategicznych (analiza odporności strategii na zmiany makroekonomiczne),</w:t>
      </w:r>
    </w:p>
    <w:p w:rsidRPr="00D43D54" w:rsidR="00D43D54" w:rsidP="00D43D54" w:rsidRDefault="00D43D54" w14:paraId="334A78F7" w14:textId="77777777">
      <w:pPr>
        <w:numPr>
          <w:ilvl w:val="0"/>
          <w:numId w:val="9"/>
        </w:numPr>
      </w:pPr>
      <w:r w:rsidRPr="00D43D54">
        <w:t>Parametryzację programów i inicjatyw strategicznych w kontekście KPI finansowych i pozafinansowych,</w:t>
      </w:r>
    </w:p>
    <w:p w:rsidRPr="00D43D54" w:rsidR="00D43D54" w:rsidP="00D43D54" w:rsidRDefault="00D43D54" w14:paraId="4B0F702D" w14:textId="77777777">
      <w:pPr>
        <w:numPr>
          <w:ilvl w:val="0"/>
          <w:numId w:val="9"/>
        </w:numPr>
      </w:pPr>
      <w:r w:rsidRPr="00D43D54">
        <w:t>Automatyzację powiadomień i workflow w procesie zatwierdzania strategii,</w:t>
      </w:r>
    </w:p>
    <w:p w:rsidRPr="00D43D54" w:rsidR="00D43D54" w:rsidP="00D43D54" w:rsidRDefault="00D43D54" w14:paraId="2A4F3D06" w14:textId="77777777">
      <w:pPr>
        <w:numPr>
          <w:ilvl w:val="0"/>
          <w:numId w:val="9"/>
        </w:numPr>
      </w:pPr>
      <w:r w:rsidRPr="00D43D54">
        <w:t>Generowanie raportów kwartalnych zgodnych z systemem monitorowania ORLEN 2035.</w:t>
      </w:r>
    </w:p>
    <w:p w:rsidR="00D43D54" w:rsidRDefault="00D43D54" w14:paraId="12A6ED2B" w14:textId="77777777"/>
    <w:p w:rsidRPr="00F95BD8" w:rsidR="00F95BD8" w:rsidP="0FFA3208" w:rsidRDefault="00F95BD8" w14:paraId="19B5DE36" w14:textId="77777777">
      <w:pPr>
        <w:pStyle w:val="Akapitzlist"/>
        <w:keepNext w:val="1"/>
        <w:keepLines w:val="1"/>
        <w:spacing w:after="0" w:line="240" w:lineRule="auto"/>
        <w:ind w:left="360"/>
        <w:contextualSpacing w:val="0"/>
        <w:outlineLvl w:val="0"/>
        <w:rPr>
          <w:rFonts w:ascii="Arial" w:hAnsi="Arial" w:eastAsia="" w:cs="Arial" w:eastAsiaTheme="majorEastAsia"/>
          <w:b w:val="1"/>
          <w:bCs w:val="1"/>
          <w:sz w:val="28"/>
          <w:szCs w:val="28"/>
        </w:rPr>
      </w:pPr>
      <w:bookmarkStart w:name="_Toc212629839" w:id="4"/>
      <w:bookmarkEnd w:id="4"/>
    </w:p>
    <w:p w:rsidRPr="00D43D54" w:rsidR="00F95BD8" w:rsidP="0FFA3208" w:rsidRDefault="000B4190" w14:paraId="5F7ADE11" w14:textId="554F9393">
      <w:pPr>
        <w:pStyle w:val="Nagwek1"/>
        <w:spacing w:before="0" w:after="0" w:line="240" w:lineRule="auto"/>
        <w:ind w:left="0"/>
        <w:rPr>
          <w:rFonts w:ascii="Arial" w:hAnsi="Arial" w:cs="Arial"/>
          <w:color w:val="auto"/>
          <w:sz w:val="28"/>
          <w:szCs w:val="28"/>
        </w:rPr>
      </w:pPr>
      <w:bookmarkStart w:name="_Toc1786623550" w:id="741595658"/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>Use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case</w:t>
      </w:r>
      <w:r w:rsidRPr="0FFA3208" w:rsidR="00F95BD8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1</w:t>
      </w:r>
      <w:r w:rsidRPr="0FFA3208" w:rsidR="00F95BD8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</w:t>
      </w:r>
      <w:r w:rsidRPr="0FFA3208" w:rsidR="00D43D54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- </w:t>
      </w:r>
      <w:r w:rsidRPr="0FFA3208" w:rsidR="00D43D54">
        <w:rPr>
          <w:rFonts w:ascii="Arial" w:hAnsi="Arial" w:cs="Arial"/>
          <w:color w:val="auto"/>
          <w:sz w:val="28"/>
          <w:szCs w:val="28"/>
        </w:rPr>
        <w:t>Opracowanie założeń do strategii korporacyjnej</w:t>
      </w:r>
      <w:bookmarkEnd w:id="741595658"/>
    </w:p>
    <w:p w:rsidR="00F95BD8" w:rsidP="00F95BD8" w:rsidRDefault="00F95BD8" w14:paraId="19486134" w14:textId="77777777"/>
    <w:p w:rsidR="00F95BD8" w:rsidP="0FFA3208" w:rsidRDefault="00F95BD8" w14:paraId="4368301B" w14:textId="26F2855C">
      <w:pPr>
        <w:pStyle w:val="Nagwek1"/>
        <w:spacing w:before="0" w:after="0" w:line="240" w:lineRule="auto"/>
        <w:ind w:left="0" w:hanging="0"/>
      </w:pPr>
      <w:bookmarkStart w:name="_Toc574504020" w:id="2098094023"/>
      <w:r w:rsidRPr="0FFA3208" w:rsidR="00F95BD8">
        <w:rPr>
          <w:rFonts w:ascii="Arial" w:hAnsi="Arial" w:cs="Arial"/>
          <w:b w:val="1"/>
          <w:bCs w:val="1"/>
          <w:color w:val="auto"/>
          <w:sz w:val="28"/>
          <w:szCs w:val="28"/>
        </w:rPr>
        <w:t>Metryka</w:t>
      </w:r>
      <w:r w:rsidRPr="0FFA3208" w:rsidR="00F95BD8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>Use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case</w:t>
      </w:r>
      <w:bookmarkEnd w:id="2098094023"/>
      <w:r w:rsidRPr="0FFA3208" w:rsidR="00F95BD8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</w:t>
      </w:r>
    </w:p>
    <w:tbl>
      <w:tblPr>
        <w:tblStyle w:val="Tabela-Siatka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110"/>
        <w:gridCol w:w="1515"/>
        <w:gridCol w:w="6420"/>
      </w:tblGrid>
      <w:tr w:rsidR="0FFA3208" w:rsidTr="0FFA3208" w14:paraId="7B512AC7">
        <w:trPr>
          <w:trHeight w:val="300"/>
        </w:trPr>
        <w:tc>
          <w:tcPr>
            <w:tcW w:w="1110" w:type="dxa"/>
            <w:vMerge w:val="restart"/>
            <w:shd w:val="clear" w:color="auto" w:fill="C00000"/>
            <w:tcMar>
              <w:left w:w="105" w:type="dxa"/>
              <w:right w:w="105" w:type="dxa"/>
            </w:tcMar>
            <w:vAlign w:val="center"/>
          </w:tcPr>
          <w:p w:rsidR="0FFA3208" w:rsidP="0FFA3208" w:rsidRDefault="0FFA3208" w14:paraId="2F90D551" w14:textId="1AFF1D1D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0FFA3208" w:rsidR="0FFA3208">
              <w:rPr>
                <w:rFonts w:ascii="Arial" w:hAnsi="Arial" w:eastAsia="Arial" w:cs="Arial"/>
                <w:b w:val="0"/>
                <w:bCs w:val="0"/>
                <w:i w:val="0"/>
                <w:iCs w:val="0"/>
                <w:smallCaps w:val="1"/>
                <w:color w:val="FFFFFF" w:themeColor="background1" w:themeTint="FF" w:themeShade="FF"/>
                <w:sz w:val="22"/>
                <w:szCs w:val="22"/>
                <w:lang w:val="pl-PL"/>
              </w:rPr>
              <w:t>nr case</w:t>
            </w:r>
          </w:p>
        </w:tc>
        <w:tc>
          <w:tcPr>
            <w:tcW w:w="7935" w:type="dxa"/>
            <w:gridSpan w:val="2"/>
            <w:shd w:val="clear" w:color="auto" w:fill="C00000"/>
            <w:tcMar>
              <w:left w:w="105" w:type="dxa"/>
              <w:right w:w="105" w:type="dxa"/>
            </w:tcMar>
            <w:vAlign w:val="center"/>
          </w:tcPr>
          <w:p w:rsidR="0FFA3208" w:rsidP="0FFA3208" w:rsidRDefault="0FFA3208" w14:paraId="01517068" w14:textId="0C6B38DE">
            <w:pPr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FFFFFF" w:themeColor="background1" w:themeTint="FF" w:themeShade="FF"/>
                <w:sz w:val="22"/>
                <w:szCs w:val="22"/>
              </w:rPr>
            </w:pPr>
            <w:r w:rsidRPr="0FFA3208" w:rsidR="0FFA3208">
              <w:rPr>
                <w:rFonts w:ascii="Arial" w:hAnsi="Arial" w:eastAsia="Arial" w:cs="Arial"/>
                <w:b w:val="0"/>
                <w:bCs w:val="0"/>
                <w:i w:val="0"/>
                <w:iCs w:val="0"/>
                <w:smallCaps w:val="1"/>
                <w:color w:val="FFFFFF" w:themeColor="background1" w:themeTint="FF" w:themeShade="FF"/>
                <w:sz w:val="22"/>
                <w:szCs w:val="22"/>
                <w:lang w:val="pl-PL"/>
              </w:rPr>
              <w:t>funkcjonalność</w:t>
            </w:r>
          </w:p>
        </w:tc>
      </w:tr>
      <w:tr w:rsidR="0FFA3208" w:rsidTr="0FFA3208" w14:paraId="4EA8FD81">
        <w:trPr>
          <w:trHeight w:val="300"/>
        </w:trPr>
        <w:tc>
          <w:tcPr>
            <w:tcW w:w="1110" w:type="dxa"/>
            <w:vMerge/>
            <w:tcBorders>
              <w:top w:sz="0"/>
              <w:left w:sz="0"/>
              <w:bottom w:sz="0"/>
              <w:right w:sz="0"/>
            </w:tcBorders>
            <w:tcMar/>
            <w:vAlign w:val="center"/>
          </w:tcPr>
          <w:p w14:paraId="30239E38"/>
        </w:tc>
        <w:tc>
          <w:tcPr>
            <w:tcW w:w="1515" w:type="dxa"/>
            <w:shd w:val="clear" w:color="auto" w:fill="C00000"/>
            <w:tcMar>
              <w:left w:w="105" w:type="dxa"/>
              <w:right w:w="105" w:type="dxa"/>
            </w:tcMar>
            <w:vAlign w:val="center"/>
          </w:tcPr>
          <w:p w:rsidR="104215FF" w:rsidP="0FFA3208" w:rsidRDefault="104215FF" w14:paraId="68F8AF0D" w14:textId="0F290349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FFA3208" w:rsidR="104215FF">
              <w:rPr>
                <w:rFonts w:ascii="Arial" w:hAnsi="Arial" w:eastAsia="Arial" w:cs="Arial"/>
                <w:b w:val="0"/>
                <w:bCs w:val="0"/>
                <w:i w:val="0"/>
                <w:iCs w:val="0"/>
                <w:smallCaps w:val="1"/>
                <w:color w:val="FFFFFF" w:themeColor="background1" w:themeTint="FF" w:themeShade="FF"/>
                <w:sz w:val="22"/>
                <w:szCs w:val="22"/>
                <w:lang w:val="pl-PL"/>
              </w:rPr>
              <w:t>Grupa procesów</w:t>
            </w:r>
          </w:p>
        </w:tc>
        <w:tc>
          <w:tcPr>
            <w:tcW w:w="6420" w:type="dxa"/>
            <w:shd w:val="clear" w:color="auto" w:fill="C00000"/>
            <w:tcMar>
              <w:left w:w="105" w:type="dxa"/>
              <w:right w:w="105" w:type="dxa"/>
            </w:tcMar>
            <w:vAlign w:val="center"/>
          </w:tcPr>
          <w:p w:rsidR="5287C946" w:rsidP="0FFA3208" w:rsidRDefault="5287C946" w14:paraId="496B9909" w14:textId="6E38E379">
            <w:pPr>
              <w:jc w:val="center"/>
            </w:pPr>
            <w:r w:rsidRPr="0FFA3208" w:rsidR="5287C946">
              <w:rPr>
                <w:rFonts w:ascii="Arial" w:hAnsi="Arial" w:eastAsia="Arial" w:cs="Arial"/>
                <w:b w:val="0"/>
                <w:bCs w:val="0"/>
                <w:i w:val="0"/>
                <w:iCs w:val="0"/>
                <w:smallCaps w:val="1"/>
                <w:color w:val="FFFFFF" w:themeColor="background1" w:themeTint="FF" w:themeShade="FF"/>
                <w:sz w:val="22"/>
                <w:szCs w:val="22"/>
                <w:lang w:val="pl-PL"/>
              </w:rPr>
              <w:t>PROCESY</w:t>
            </w:r>
          </w:p>
        </w:tc>
      </w:tr>
      <w:tr w:rsidR="0FFA3208" w:rsidTr="0FFA3208" w14:paraId="772CDC4C">
        <w:trPr>
          <w:trHeight w:val="300"/>
        </w:trPr>
        <w:tc>
          <w:tcPr>
            <w:tcW w:w="111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FFA3208" w:rsidP="0FFA3208" w:rsidRDefault="0FFA3208" w14:paraId="6BF04AD1" w14:textId="4E030395">
            <w:pPr>
              <w:jc w:val="center"/>
            </w:pPr>
            <w:r w:rsidRPr="0FFA3208" w:rsidR="0FFA3208">
              <w:rPr>
                <w:rFonts w:ascii="Arial" w:hAnsi="Arial" w:eastAsia="Arial" w:cs="Arial"/>
                <w:b w:val="0"/>
                <w:bCs w:val="0"/>
                <w:i w:val="1"/>
                <w:iCs w:val="1"/>
                <w:smallCaps w:val="1"/>
                <w:color w:val="171717" w:themeColor="background2" w:themeTint="FF" w:themeShade="1A"/>
                <w:sz w:val="22"/>
                <w:szCs w:val="22"/>
                <w:lang w:val="pl-PL"/>
              </w:rPr>
              <w:t>0</w:t>
            </w:r>
            <w:r w:rsidRPr="0FFA3208" w:rsidR="1589D8DC">
              <w:rPr>
                <w:rFonts w:ascii="Arial" w:hAnsi="Arial" w:eastAsia="Arial" w:cs="Arial"/>
                <w:b w:val="0"/>
                <w:bCs w:val="0"/>
                <w:i w:val="1"/>
                <w:iCs w:val="1"/>
                <w:smallCaps w:val="1"/>
                <w:color w:val="171717" w:themeColor="background2" w:themeTint="FF" w:themeShade="1A"/>
                <w:sz w:val="22"/>
                <w:szCs w:val="22"/>
                <w:lang w:val="pl-PL"/>
              </w:rPr>
              <w:t>1</w:t>
            </w:r>
            <w:r>
              <w:br/>
            </w:r>
            <w:r w:rsidRPr="0FFA3208" w:rsidR="6136D6B2">
              <w:rPr>
                <w:rFonts w:ascii="Arial" w:hAnsi="Arial" w:eastAsia="Arial" w:cs="Arial"/>
                <w:b w:val="0"/>
                <w:bCs w:val="0"/>
                <w:i w:val="1"/>
                <w:iCs w:val="1"/>
                <w:smallCaps w:val="1"/>
                <w:color w:val="171717" w:themeColor="background2" w:themeTint="FF" w:themeShade="1A"/>
                <w:sz w:val="22"/>
                <w:szCs w:val="22"/>
                <w:lang w:val="pl-PL"/>
              </w:rPr>
              <w:t>SPM</w:t>
            </w:r>
          </w:p>
        </w:tc>
        <w:tc>
          <w:tcPr>
            <w:tcW w:w="1515" w:type="dxa"/>
            <w:tcMar>
              <w:left w:w="105" w:type="dxa"/>
              <w:right w:w="105" w:type="dxa"/>
            </w:tcMar>
            <w:vAlign w:val="center"/>
          </w:tcPr>
          <w:p w:rsidR="7906136D" w:rsidP="0FFA3208" w:rsidRDefault="7906136D" w14:paraId="3C2DAA0F" w14:textId="351A1CE9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Arial" w:hAnsi="Arial" w:eastAsia="Arial" w:cs="Arial"/>
                <w:b w:val="0"/>
                <w:bCs w:val="0"/>
                <w:i w:val="1"/>
                <w:iCs w:val="1"/>
                <w:smallCaps w:val="1"/>
                <w:color w:val="171717" w:themeColor="background2" w:themeTint="FF" w:themeShade="1A"/>
                <w:sz w:val="22"/>
                <w:szCs w:val="22"/>
                <w:lang w:val="pl-PL"/>
              </w:rPr>
            </w:pPr>
            <w:r w:rsidRPr="0FFA3208" w:rsidR="7906136D">
              <w:rPr>
                <w:rFonts w:ascii="Arial" w:hAnsi="Arial" w:eastAsia="Arial" w:cs="Arial"/>
                <w:b w:val="0"/>
                <w:bCs w:val="0"/>
                <w:i w:val="1"/>
                <w:iCs w:val="1"/>
                <w:smallCaps w:val="1"/>
                <w:color w:val="171717" w:themeColor="background2" w:themeTint="FF" w:themeShade="1A"/>
                <w:sz w:val="22"/>
                <w:szCs w:val="22"/>
                <w:lang w:val="pl-PL"/>
              </w:rPr>
              <w:t>A1</w:t>
            </w:r>
          </w:p>
        </w:tc>
        <w:tc>
          <w:tcPr>
            <w:tcW w:w="6420" w:type="dxa"/>
            <w:tcMar>
              <w:left w:w="105" w:type="dxa"/>
              <w:right w:w="105" w:type="dxa"/>
            </w:tcMar>
            <w:vAlign w:val="top"/>
          </w:tcPr>
          <w:p w:rsidR="7906136D" w:rsidP="0FFA3208" w:rsidRDefault="7906136D" w14:paraId="2D42BD9F" w14:textId="282BEB44">
            <w:pPr>
              <w:pStyle w:val="Normalny"/>
              <w:jc w:val="both"/>
              <w:rPr>
                <w:rFonts w:ascii="Arial" w:hAnsi="Arial" w:eastAsia="Arial" w:cs="Arial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/>
              </w:rPr>
            </w:pPr>
            <w:r w:rsidRPr="0FFA3208" w:rsidR="7906136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Długoterminowe Ramy Strategiczne (DRS): systemowa obsługa podprocesów rozwój hipotez strategicznych, agregacja, ocena i priorytetyzacja wniosków z: analizy oczekiwań interesariuszy, ze strategicznej analizy otoczenia zewnętrzengo, kierunków strategicznych reazliowanych przez konkurentów</w:t>
            </w:r>
          </w:p>
        </w:tc>
      </w:tr>
      <w:tr w:rsidR="0FFA3208" w:rsidTr="0FFA3208" w14:paraId="699403DD">
        <w:trPr>
          <w:trHeight w:val="1035"/>
        </w:trPr>
        <w:tc>
          <w:tcPr>
            <w:tcW w:w="1110" w:type="dxa"/>
            <w:vMerge/>
            <w:tcMar/>
            <w:vAlign w:val="center"/>
          </w:tcPr>
          <w:p w14:paraId="7B2FF9CA"/>
        </w:tc>
        <w:tc>
          <w:tcPr>
            <w:tcW w:w="1515" w:type="dxa"/>
            <w:tcMar>
              <w:left w:w="105" w:type="dxa"/>
              <w:right w:w="105" w:type="dxa"/>
            </w:tcMar>
            <w:vAlign w:val="center"/>
          </w:tcPr>
          <w:p w:rsidR="4CF78B49" w:rsidP="0FFA3208" w:rsidRDefault="4CF78B49" w14:paraId="003FFF54" w14:textId="1BBFC7FD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FFA3208" w:rsidR="4CF78B4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A2</w:t>
            </w:r>
          </w:p>
        </w:tc>
        <w:tc>
          <w:tcPr>
            <w:tcW w:w="6420" w:type="dxa"/>
            <w:tcMar>
              <w:left w:w="105" w:type="dxa"/>
              <w:right w:w="105" w:type="dxa"/>
            </w:tcMar>
            <w:vAlign w:val="top"/>
          </w:tcPr>
          <w:p w:rsidR="4CF78B49" w:rsidP="0FFA3208" w:rsidRDefault="4CF78B49" w14:paraId="11F582FC" w14:textId="6267F644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</w:pPr>
            <w:r w:rsidRPr="0FFA3208" w:rsidR="4CF78B49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Strategia korporacyjna:</w:t>
            </w:r>
            <w:r w:rsidRPr="0FFA3208" w:rsidR="35BD4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 xml:space="preserve"> </w:t>
            </w:r>
            <w:r w:rsidRPr="0FFA3208" w:rsidR="35BD4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R</w:t>
            </w:r>
            <w:r w:rsidRPr="0FFA3208" w:rsidR="35BD4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ozwój</w:t>
            </w:r>
            <w:r w:rsidRPr="0FFA3208" w:rsidR="35BD4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 xml:space="preserve"> hipotez strategicznych wraz z </w:t>
            </w:r>
            <w:r w:rsidRPr="0FFA3208" w:rsidR="35BD4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opracoawniem</w:t>
            </w:r>
            <w:r w:rsidRPr="0FFA3208" w:rsidR="35BD4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 xml:space="preserve"> wniosków, </w:t>
            </w:r>
            <w:r w:rsidRPr="0FFA3208" w:rsidR="35BD4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priorytetyzacja</w:t>
            </w:r>
            <w:r w:rsidRPr="0FFA3208" w:rsidR="35BD497F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, tworzenie scenariuszy strategicznych,</w:t>
            </w:r>
          </w:p>
        </w:tc>
      </w:tr>
      <w:tr w:rsidR="0FFA3208" w:rsidTr="0FFA3208" w14:paraId="577B52B1">
        <w:trPr>
          <w:trHeight w:val="300"/>
        </w:trPr>
        <w:tc>
          <w:tcPr>
            <w:tcW w:w="1110" w:type="dxa"/>
            <w:vMerge/>
            <w:tcMar>
              <w:left w:w="105" w:type="dxa"/>
              <w:right w:w="105" w:type="dxa"/>
            </w:tcMar>
            <w:vAlign w:val="center"/>
          </w:tcPr>
          <w:p w14:paraId="4137C846"/>
        </w:tc>
        <w:tc>
          <w:tcPr>
            <w:tcW w:w="1515" w:type="dxa"/>
            <w:tcMar>
              <w:left w:w="105" w:type="dxa"/>
              <w:right w:w="105" w:type="dxa"/>
            </w:tcMar>
            <w:vAlign w:val="center"/>
          </w:tcPr>
          <w:p w:rsidR="47D4578D" w:rsidP="0FFA3208" w:rsidRDefault="47D4578D" w14:paraId="60D9CCF1" w14:textId="467F8856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FFA3208" w:rsidR="47D4578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e1</w:t>
            </w:r>
          </w:p>
        </w:tc>
        <w:tc>
          <w:tcPr>
            <w:tcW w:w="6420" w:type="dxa"/>
            <w:tcMar>
              <w:left w:w="105" w:type="dxa"/>
              <w:right w:w="105" w:type="dxa"/>
            </w:tcMar>
            <w:vAlign w:val="top"/>
          </w:tcPr>
          <w:p w:rsidR="47D4578D" w:rsidP="0FFA3208" w:rsidRDefault="47D4578D" w14:paraId="69EB7C68" w14:textId="56527633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</w:pPr>
            <w:r w:rsidRPr="0FFA3208" w:rsidR="47D4578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Optymalizacja portfolio</w:t>
            </w:r>
          </w:p>
        </w:tc>
      </w:tr>
      <w:tr w:rsidR="0FFA3208" w:rsidTr="0FFA3208" w14:paraId="27573527">
        <w:trPr>
          <w:trHeight w:val="300"/>
        </w:trPr>
        <w:tc>
          <w:tcPr>
            <w:tcW w:w="1110" w:type="dxa"/>
            <w:vMerge/>
            <w:tcMar>
              <w:left w:w="105" w:type="dxa"/>
              <w:right w:w="105" w:type="dxa"/>
            </w:tcMar>
            <w:vAlign w:val="center"/>
          </w:tcPr>
          <w:p w14:paraId="2C4C4975"/>
        </w:tc>
        <w:tc>
          <w:tcPr>
            <w:tcW w:w="1515" w:type="dxa"/>
            <w:tcMar>
              <w:left w:w="105" w:type="dxa"/>
              <w:right w:w="105" w:type="dxa"/>
            </w:tcMar>
            <w:vAlign w:val="center"/>
          </w:tcPr>
          <w:p w:rsidR="47D4578D" w:rsidP="0FFA3208" w:rsidRDefault="47D4578D" w14:paraId="2767E19E" w14:textId="58DE6FC1">
            <w:pPr>
              <w:pStyle w:val="Normalny"/>
              <w:bidi w:val="0"/>
              <w:spacing w:line="240" w:lineRule="auto"/>
              <w:jc w:val="center"/>
            </w:pPr>
            <w:r w:rsidRPr="0FFA3208" w:rsidR="47D4578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g1</w:t>
            </w:r>
          </w:p>
        </w:tc>
        <w:tc>
          <w:tcPr>
            <w:tcW w:w="6420" w:type="dxa"/>
            <w:tcMar>
              <w:left w:w="105" w:type="dxa"/>
              <w:right w:w="105" w:type="dxa"/>
            </w:tcMar>
            <w:vAlign w:val="top"/>
          </w:tcPr>
          <w:p w:rsidR="47D4578D" w:rsidP="0FFA3208" w:rsidRDefault="47D4578D" w14:paraId="189D43D3" w14:textId="65BEA441">
            <w:pPr>
              <w:pStyle w:val="Normalny"/>
              <w:bidi w:val="0"/>
              <w:spacing w:line="240" w:lineRule="auto"/>
              <w:jc w:val="both"/>
            </w:pPr>
            <w:r w:rsidRPr="0FFA3208" w:rsidR="47D4578D">
              <w:rPr>
                <w:rFonts w:ascii="Arial" w:hAnsi="Arial" w:eastAsia="Arial" w:cs="Arial" w:asciiTheme="minorAscii" w:hAnsiTheme="minorAscii" w:eastAsiaTheme="minorAscii" w:cstheme="minorBidi"/>
                <w:b w:val="0"/>
                <w:bCs w:val="0"/>
                <w:i w:val="1"/>
                <w:iCs w:val="1"/>
                <w:smallCaps w:val="1"/>
                <w:noProof w:val="0"/>
                <w:color w:val="171717" w:themeColor="background2" w:themeTint="FF" w:themeShade="1A"/>
                <w:sz w:val="22"/>
                <w:szCs w:val="22"/>
                <w:lang w:val="pl-PL" w:eastAsia="en-US" w:bidi="ar-SA"/>
              </w:rPr>
              <w:t>PRZEGLĄD STRATEGICZNY</w:t>
            </w:r>
          </w:p>
        </w:tc>
      </w:tr>
    </w:tbl>
    <w:p w:rsidR="00F95BD8" w:rsidP="0FFA3208" w:rsidRDefault="00F95BD8" w14:paraId="04991145" w14:textId="150506FC">
      <w:pPr>
        <w:pStyle w:val="Normalny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31"/>
        <w:gridCol w:w="2433"/>
        <w:gridCol w:w="5098"/>
      </w:tblGrid>
      <w:tr w:rsidR="0FFA3208" w:rsidTr="0FFA3208" w14:paraId="4B949196">
        <w:trPr>
          <w:trHeight w:val="300"/>
        </w:trPr>
        <w:tc>
          <w:tcPr>
            <w:tcW w:w="1531" w:type="dxa"/>
            <w:vMerge w:val="restart"/>
            <w:shd w:val="clear" w:color="auto" w:fill="C00000"/>
            <w:tcMar/>
            <w:vAlign w:val="center"/>
          </w:tcPr>
          <w:p w:rsidR="0FFA3208" w:rsidP="0FFA3208" w:rsidRDefault="0FFA3208" w14:paraId="5D6C163A" w14:textId="0D9B6991">
            <w:pPr>
              <w:jc w:val="center"/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</w:pPr>
            <w:r w:rsidRPr="0FFA3208" w:rsidR="0FFA3208"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  <w:t>nr case</w:t>
            </w:r>
          </w:p>
        </w:tc>
        <w:tc>
          <w:tcPr>
            <w:tcW w:w="7531" w:type="dxa"/>
            <w:gridSpan w:val="2"/>
            <w:shd w:val="clear" w:color="auto" w:fill="C00000"/>
            <w:tcMar/>
            <w:vAlign w:val="center"/>
          </w:tcPr>
          <w:p w:rsidR="0FFA3208" w:rsidP="0FFA3208" w:rsidRDefault="0FFA3208" w14:paraId="142283AF" w14:textId="45B6B71B">
            <w:pPr>
              <w:jc w:val="center"/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</w:pPr>
            <w:r w:rsidRPr="0FFA3208" w:rsidR="0FFA3208"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  <w:t>funkcjonalność</w:t>
            </w:r>
          </w:p>
        </w:tc>
      </w:tr>
      <w:tr w:rsidR="0FFA3208" w:rsidTr="0FFA3208" w14:paraId="343D26B0">
        <w:trPr>
          <w:trHeight w:val="300"/>
        </w:trPr>
        <w:tc>
          <w:tcPr>
            <w:tcW w:w="1531" w:type="dxa"/>
            <w:vMerge/>
            <w:tcMar/>
          </w:tcPr>
          <w:p w14:paraId="276AB2B4"/>
        </w:tc>
        <w:tc>
          <w:tcPr>
            <w:tcW w:w="2433" w:type="dxa"/>
            <w:shd w:val="clear" w:color="auto" w:fill="C00000"/>
            <w:tcMar/>
            <w:vAlign w:val="center"/>
          </w:tcPr>
          <w:p w:rsidR="0FFA3208" w:rsidP="0FFA3208" w:rsidRDefault="0FFA3208" w14:paraId="1B96D564" w14:textId="14A6B033">
            <w:pPr>
              <w:jc w:val="center"/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</w:pPr>
            <w:r w:rsidRPr="0FFA3208" w:rsidR="0FFA3208"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  <w:t>oznaczenie</w:t>
            </w:r>
          </w:p>
        </w:tc>
        <w:tc>
          <w:tcPr>
            <w:tcW w:w="5098" w:type="dxa"/>
            <w:shd w:val="clear" w:color="auto" w:fill="C00000"/>
            <w:tcMar/>
            <w:vAlign w:val="center"/>
          </w:tcPr>
          <w:p w:rsidR="0FFA3208" w:rsidP="0FFA3208" w:rsidRDefault="0FFA3208" w14:paraId="33892940" w14:textId="5770F3EC">
            <w:pPr>
              <w:jc w:val="center"/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</w:pPr>
            <w:r w:rsidRPr="0FFA3208" w:rsidR="0FFA3208"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  <w:t>nazwa</w:t>
            </w:r>
            <w:r w:rsidRPr="0FFA3208" w:rsidR="0FFA3208"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  <w:t xml:space="preserve"> </w:t>
            </w:r>
            <w:r w:rsidRPr="0FFA3208" w:rsidR="0FFA3208">
              <w:rPr>
                <w:rFonts w:ascii="Arial" w:hAnsi="Arial" w:cs="Arial"/>
                <w:smallCaps w:val="1"/>
                <w:color w:val="FFFFFF" w:themeColor="background1" w:themeTint="FF" w:themeShade="FF"/>
                <w:sz w:val="24"/>
                <w:szCs w:val="24"/>
                <w:lang w:val="en-AU"/>
              </w:rPr>
              <w:t>funkcjonalności</w:t>
            </w:r>
          </w:p>
        </w:tc>
      </w:tr>
      <w:tr w:rsidR="0FFA3208" w:rsidTr="0FFA3208" w14:paraId="000E5119">
        <w:trPr>
          <w:trHeight w:val="300"/>
        </w:trPr>
        <w:tc>
          <w:tcPr>
            <w:tcW w:w="1531" w:type="dxa"/>
            <w:vMerge w:val="restart"/>
            <w:tcMar/>
          </w:tcPr>
          <w:p w:rsidR="0FFA3208" w:rsidP="0FFA3208" w:rsidRDefault="0FFA3208" w14:paraId="5057625A" w14:textId="7E90B66A">
            <w:pPr>
              <w:pStyle w:val="Normalny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FFA3208" w:rsidR="0FFA3208">
              <w:rPr>
                <w:rFonts w:ascii="Arial" w:hAnsi="Arial" w:cs="Arial"/>
                <w:i w:val="1"/>
                <w:iCs w:val="1"/>
                <w:smallCaps w:val="1"/>
                <w:color w:val="171717" w:themeColor="background2" w:themeTint="FF" w:themeShade="1A"/>
                <w:sz w:val="24"/>
                <w:szCs w:val="24"/>
                <w:lang w:val="en-AU"/>
              </w:rPr>
              <w:t>01 SPM</w:t>
            </w:r>
          </w:p>
        </w:tc>
        <w:tc>
          <w:tcPr>
            <w:tcW w:w="2433" w:type="dxa"/>
            <w:tcMar/>
          </w:tcPr>
          <w:p w:rsidR="0FFA3208" w:rsidP="0FFA3208" w:rsidRDefault="0FFA3208" w14:paraId="332959E5" w14:textId="2B003049">
            <w:pPr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  <w:lang w:val="en-AU"/>
              </w:rPr>
            </w:pPr>
            <w:r w:rsidRPr="0FFA3208" w:rsidR="0FFA3208"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  <w:t>Integracja danych i źródeł</w:t>
            </w:r>
          </w:p>
        </w:tc>
        <w:tc>
          <w:tcPr>
            <w:tcW w:w="5098" w:type="dxa"/>
            <w:tcMar/>
          </w:tcPr>
          <w:p w:rsidR="0FFA3208" w:rsidP="0FFA3208" w:rsidRDefault="0FFA3208" w14:paraId="21E1D666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Integracja z PPM/EPM – automatyczne pobieranie danych z procesów monitorowania projektów, programów i inicjatyw strategicznych. </w:t>
            </w:r>
          </w:p>
          <w:p w:rsidR="0FFA3208" w:rsidP="0FFA3208" w:rsidRDefault="0FFA3208" w14:paraId="0D61123E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Obsługa danych wsadowych – hipotezy strategiczne, oczekiwania interesariuszy, analizy otoczenia (PESTEL). </w:t>
            </w:r>
          </w:p>
          <w:p w:rsidR="0FFA3208" w:rsidP="0FFA3208" w:rsidRDefault="0FFA3208" w14:paraId="2993DEF0" w14:textId="5BBCB335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i w:val="1"/>
                <w:iCs w:val="1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>Łączenie z raportami ORLEN 2035</w:t>
            </w: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 / narzędziami strategic intelligence</w:t>
            </w: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 – status KPI, ryzyka, sygnalizacja zarządcza.</w:t>
            </w:r>
          </w:p>
        </w:tc>
      </w:tr>
      <w:tr w:rsidR="0FFA3208" w:rsidTr="0FFA3208" w14:paraId="7545B14D">
        <w:trPr>
          <w:trHeight w:val="300"/>
        </w:trPr>
        <w:tc>
          <w:tcPr>
            <w:tcW w:w="1531" w:type="dxa"/>
            <w:vMerge/>
            <w:tcMar/>
          </w:tcPr>
          <w:p w14:paraId="71D82C38"/>
        </w:tc>
        <w:tc>
          <w:tcPr>
            <w:tcW w:w="2433" w:type="dxa"/>
            <w:tcMar/>
          </w:tcPr>
          <w:p w:rsidR="0FFA3208" w:rsidP="0FFA3208" w:rsidRDefault="0FFA3208" w14:paraId="5B27DFED" w14:textId="3FD7EAC1">
            <w:pPr>
              <w:rPr>
                <w:rFonts w:ascii="Arial" w:hAnsi="Arial" w:cs="Arial"/>
                <w:i w:val="1"/>
                <w:iCs w:val="1"/>
                <w:smallCaps w:val="1"/>
                <w:color w:val="171717" w:themeColor="background2" w:themeTint="FF" w:themeShade="1A"/>
                <w:sz w:val="24"/>
                <w:szCs w:val="24"/>
              </w:rPr>
            </w:pPr>
            <w:r w:rsidRPr="0FFA3208" w:rsidR="0FFA3208"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  <w:t>Planowanie i modelowanie</w:t>
            </w:r>
          </w:p>
        </w:tc>
        <w:tc>
          <w:tcPr>
            <w:tcW w:w="5098" w:type="dxa"/>
            <w:tcMar/>
          </w:tcPr>
          <w:p w:rsidR="0FFA3208" w:rsidP="0FFA3208" w:rsidRDefault="0FFA3208" w14:paraId="59116CF1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Tworzenie harmonogramów procesu strategii – możliwość definiowania etapów, przypisywania odpowiedzialności i powiadomień. </w:t>
            </w:r>
          </w:p>
          <w:p w:rsidR="0FFA3208" w:rsidP="0FFA3208" w:rsidRDefault="0FFA3208" w14:paraId="7CDB089A" w14:textId="363AE166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Modelowanie scenariuszy „co-jeśli” – analiza wpływu zmian makroekonomicznych, regulacyjnych i rynkowych na strategię. </w:t>
            </w:r>
          </w:p>
          <w:p w:rsidR="0FFA3208" w:rsidP="0FFA3208" w:rsidRDefault="0FFA3208" w14:paraId="67CEB77D" w14:textId="3256A784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>Parametryzacja celów strategicznych i inicjatyw – powiązanie z KPI finansowymi (EBITDA, CAPEX) i pozafinansowymi (ESG, dekarbonizacja</w:t>
            </w:r>
          </w:p>
        </w:tc>
      </w:tr>
      <w:tr w:rsidR="0FFA3208" w:rsidTr="0FFA3208" w14:paraId="7E2B9FF4">
        <w:trPr>
          <w:trHeight w:val="300"/>
        </w:trPr>
        <w:tc>
          <w:tcPr>
            <w:tcW w:w="1531" w:type="dxa"/>
            <w:vMerge/>
            <w:tcMar/>
          </w:tcPr>
          <w:p w14:paraId="4FB90434"/>
        </w:tc>
        <w:tc>
          <w:tcPr>
            <w:tcW w:w="2433" w:type="dxa"/>
            <w:tcMar/>
          </w:tcPr>
          <w:p w:rsidR="0FFA3208" w:rsidP="0FFA3208" w:rsidRDefault="0FFA3208" w14:paraId="3736640E" w14:textId="4C9ECAFC">
            <w:pPr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  <w:t>Raportowanie i wizualizacja</w:t>
            </w:r>
          </w:p>
        </w:tc>
        <w:tc>
          <w:tcPr>
            <w:tcW w:w="5098" w:type="dxa"/>
            <w:tcMar/>
          </w:tcPr>
          <w:p w:rsidR="0FFA3208" w:rsidP="0FFA3208" w:rsidRDefault="0FFA3208" w14:paraId="404DC041" w14:textId="4C0C0153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Dashboardy KPI – prezentacja realizacji celów strategicznych i statusów projektów. </w:t>
            </w:r>
          </w:p>
          <w:p w:rsidR="0FFA3208" w:rsidP="0FFA3208" w:rsidRDefault="0FFA3208" w14:paraId="411ACFDF" w14:textId="6B46157B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Raporty kwartalne – zgodne z formatkami ORLEN (otoczenie makro, status projektów, analiza ryzyk). </w:t>
            </w:r>
          </w:p>
          <w:p w:rsidR="0FFA3208" w:rsidP="0FFA3208" w:rsidRDefault="0FFA3208" w14:paraId="25C1D891" w14:textId="346C49DD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>Analiza odchyleń i ryzyk – harmonogramowych, budżetowych, rynkowych</w:t>
            </w:r>
          </w:p>
        </w:tc>
      </w:tr>
      <w:tr w:rsidR="0FFA3208" w:rsidTr="0FFA3208" w14:paraId="5A0A939C">
        <w:trPr>
          <w:trHeight w:val="300"/>
        </w:trPr>
        <w:tc>
          <w:tcPr>
            <w:tcW w:w="1531" w:type="dxa"/>
            <w:vMerge/>
            <w:tcMar/>
          </w:tcPr>
          <w:p w14:paraId="5C5FD2E0"/>
        </w:tc>
        <w:tc>
          <w:tcPr>
            <w:tcW w:w="2433" w:type="dxa"/>
            <w:tcMar/>
          </w:tcPr>
          <w:p w:rsidR="0FFA3208" w:rsidP="0FFA3208" w:rsidRDefault="0FFA3208" w14:paraId="4B61ED70" w14:textId="11AE30C4">
            <w:pPr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  <w:t>Workflow i</w:t>
            </w:r>
            <w:r w:rsidRPr="0FFA3208" w:rsidR="0FFA3208"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 </w:t>
            </w:r>
            <w:r w:rsidRPr="0FFA3208" w:rsidR="0FFA3208"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  <w:t>zatwierdzanie</w:t>
            </w:r>
          </w:p>
        </w:tc>
        <w:tc>
          <w:tcPr>
            <w:tcW w:w="5098" w:type="dxa"/>
            <w:tcMar/>
          </w:tcPr>
          <w:p w:rsidR="0FFA3208" w:rsidP="0FFA3208" w:rsidRDefault="0FFA3208" w14:paraId="419CC1B1" w14:textId="489AE741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Obsługa procesów decyzyjnych – zatwierdzanie założeń, opiniowanie celów strategicznych, eskalacje. </w:t>
            </w:r>
          </w:p>
          <w:p w:rsidR="0FFA3208" w:rsidP="0FFA3208" w:rsidRDefault="0FFA3208" w14:paraId="78DA1B11" w14:textId="2327D705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>Ścieżki akceptacji – Komitet Makro, Komitet Strategii, Zarząd, Rada Nadzorcza</w:t>
            </w:r>
          </w:p>
        </w:tc>
      </w:tr>
      <w:tr w:rsidR="0FFA3208" w:rsidTr="0FFA3208" w14:paraId="1AF1490A">
        <w:trPr>
          <w:trHeight w:val="300"/>
        </w:trPr>
        <w:tc>
          <w:tcPr>
            <w:tcW w:w="1531" w:type="dxa"/>
            <w:vMerge/>
            <w:tcMar/>
          </w:tcPr>
          <w:p w14:paraId="6DBF1B5C"/>
        </w:tc>
        <w:tc>
          <w:tcPr>
            <w:tcW w:w="2433" w:type="dxa"/>
            <w:tcMar/>
          </w:tcPr>
          <w:p w:rsidR="0FFA3208" w:rsidP="0FFA3208" w:rsidRDefault="0FFA3208" w14:paraId="7371D145" w14:textId="031D17D9">
            <w:pPr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b w:val="1"/>
                <w:bCs w:val="1"/>
                <w:smallCaps w:val="1"/>
                <w:color w:val="171717" w:themeColor="background2" w:themeTint="FF" w:themeShade="1A"/>
                <w:sz w:val="20"/>
                <w:szCs w:val="20"/>
              </w:rPr>
              <w:t>Funkcje analityczne</w:t>
            </w:r>
          </w:p>
        </w:tc>
        <w:tc>
          <w:tcPr>
            <w:tcW w:w="5098" w:type="dxa"/>
            <w:tcMar/>
          </w:tcPr>
          <w:p w:rsidR="0FFA3208" w:rsidP="0FFA3208" w:rsidRDefault="0FFA3208" w14:paraId="60EFD132" w14:textId="5487A3F2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Analiza otoczenia zewnętrznego (PESTEL) – trendy geopolityczne, makroekonomiczne, regulacyjne. </w:t>
            </w:r>
          </w:p>
          <w:p w:rsidR="0FFA3208" w:rsidP="0FFA3208" w:rsidRDefault="0FFA3208" w14:paraId="753B4FA6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>Symulacje odporności strategii – badanie wpływu scenariuszy alternatywnych na KPI</w:t>
            </w:r>
          </w:p>
          <w:p w:rsidR="0FFA3208" w:rsidP="0FFA3208" w:rsidRDefault="0FFA3208" w14:paraId="0C5DE2B2" w14:textId="244B0C98">
            <w:pPr>
              <w:pStyle w:val="Akapitzlist"/>
              <w:numPr>
                <w:ilvl w:val="0"/>
                <w:numId w:val="13"/>
              </w:numPr>
              <w:ind w:left="316"/>
              <w:jc w:val="left"/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</w:pP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Integracja z danymi analitycznymi AI (np. RA.  lokalne </w:t>
            </w: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>Retrieval-Augmented</w:t>
            </w: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 xml:space="preserve"> </w:t>
            </w: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>Generation</w:t>
            </w:r>
            <w:r w:rsidRPr="0FFA3208" w:rsidR="0FFA3208">
              <w:rPr>
                <w:rFonts w:ascii="Arial" w:hAnsi="Arial" w:cs="Arial"/>
                <w:smallCaps w:val="1"/>
                <w:color w:val="171717" w:themeColor="background2" w:themeTint="FF" w:themeShade="1A"/>
                <w:sz w:val="20"/>
                <w:szCs w:val="20"/>
              </w:rPr>
              <w:t>)</w:t>
            </w:r>
          </w:p>
        </w:tc>
      </w:tr>
    </w:tbl>
    <w:p w:rsidR="00F95BD8" w:rsidP="00F95BD8" w:rsidRDefault="00F95BD8" w14:paraId="337C5225" w14:textId="4F069FE0"/>
    <w:p w:rsidRPr="003C2629" w:rsidR="003C2629" w:rsidP="0FFA3208" w:rsidRDefault="003C2629" w14:paraId="2C4B47C1" w14:textId="01E0A3C7">
      <w:pPr>
        <w:ind w:left="720"/>
        <w:rPr>
          <w:b w:val="1"/>
          <w:bCs w:val="1"/>
        </w:rPr>
      </w:pPr>
    </w:p>
    <w:p w:rsidRPr="003C2629" w:rsidR="003C2629" w:rsidP="0FFA3208" w:rsidRDefault="003C2629" w14:paraId="3560917F" w14:textId="32DDC1F9">
      <w:pPr>
        <w:ind/>
      </w:pPr>
      <w:r>
        <w:br w:type="page"/>
      </w:r>
    </w:p>
    <w:p w:rsidRPr="003C2629" w:rsidR="003C2629" w:rsidP="0FFA3208" w:rsidRDefault="003C2629" w14:paraId="284F76BB" w14:textId="57BF4888">
      <w:pPr>
        <w:pStyle w:val="Normalny"/>
        <w:ind w:left="720"/>
      </w:pPr>
      <w:r w:rsidRPr="0FFA3208" w:rsidR="003C2629">
        <w:rPr>
          <w:b w:val="1"/>
          <w:bCs w:val="1"/>
        </w:rPr>
        <w:t>Cel:</w:t>
      </w:r>
      <w:r w:rsidR="003C2629">
        <w:rPr/>
        <w:t xml:space="preserve"> przygotować założenia strategiczne na podstawie danych z PPM/EPM</w:t>
      </w:r>
      <w:r w:rsidR="3D9B10AB">
        <w:rPr/>
        <w:t xml:space="preserve"> narzędzie strategic intelligence</w:t>
      </w:r>
      <w:r w:rsidR="003C2629">
        <w:rPr/>
        <w:t>.</w:t>
      </w:r>
    </w:p>
    <w:p w:rsidRPr="003C2629" w:rsidR="003C2629" w:rsidP="003C2629" w:rsidRDefault="003C2629" w14:paraId="0B8ABA54" w14:textId="77420D14">
      <w:pPr>
        <w:ind w:left="720"/>
      </w:pPr>
      <w:r w:rsidRPr="0FFA3208" w:rsidR="003C2629">
        <w:rPr>
          <w:b w:val="1"/>
          <w:bCs w:val="1"/>
        </w:rPr>
        <w:t>Uczestnicy:</w:t>
      </w:r>
      <w:r w:rsidR="003C2629">
        <w:rPr/>
        <w:t xml:space="preserve"> Strategia Korporacyjna, </w:t>
      </w:r>
      <w:r w:rsidR="003C2629">
        <w:rPr/>
        <w:t>Finanse Strategiczne</w:t>
      </w:r>
      <w:r w:rsidR="003C2629">
        <w:rPr/>
        <w:t>.</w:t>
      </w:r>
    </w:p>
    <w:p w:rsidRPr="003C2629" w:rsidR="003C2629" w:rsidP="003C2629" w:rsidRDefault="003C2629" w14:paraId="641AEC8C" w14:textId="77777777">
      <w:pPr>
        <w:numPr>
          <w:ilvl w:val="0"/>
          <w:numId w:val="15"/>
        </w:numPr>
      </w:pPr>
      <w:r w:rsidRPr="003C2629">
        <w:rPr>
          <w:b/>
          <w:bCs/>
        </w:rPr>
        <w:t>Dane wejściowe:</w:t>
      </w:r>
      <w:r w:rsidRPr="003C2629">
        <w:t xml:space="preserve"> </w:t>
      </w:r>
    </w:p>
    <w:p w:rsidRPr="003C2629" w:rsidR="003C2629" w:rsidP="003C2629" w:rsidRDefault="003C2629" w14:paraId="77F1B45C" w14:textId="45FF73CE">
      <w:pPr>
        <w:numPr>
          <w:ilvl w:val="1"/>
          <w:numId w:val="15"/>
        </w:numPr>
      </w:pPr>
      <w:r>
        <w:t xml:space="preserve">Założenia i </w:t>
      </w:r>
      <w:r w:rsidRPr="003C2629">
        <w:t>hipotezy strategiczne,</w:t>
      </w:r>
    </w:p>
    <w:p w:rsidRPr="003C2629" w:rsidR="003C2629" w:rsidP="003C2629" w:rsidRDefault="003C2629" w14:paraId="0EA13725" w14:textId="77777777">
      <w:pPr>
        <w:numPr>
          <w:ilvl w:val="1"/>
          <w:numId w:val="15"/>
        </w:numPr>
      </w:pPr>
      <w:r w:rsidRPr="003C2629">
        <w:t>analizy otoczenia,</w:t>
      </w:r>
    </w:p>
    <w:p w:rsidRPr="003C2629" w:rsidR="003C2629" w:rsidP="003C2629" w:rsidRDefault="003C2629" w14:paraId="59CD3485" w14:textId="77777777">
      <w:pPr>
        <w:numPr>
          <w:ilvl w:val="1"/>
          <w:numId w:val="15"/>
        </w:numPr>
      </w:pPr>
      <w:r w:rsidRPr="003C2629">
        <w:t>oczekiwania interesariuszy,</w:t>
      </w:r>
    </w:p>
    <w:p w:rsidRPr="003C2629" w:rsidR="003C2629" w:rsidP="003C2629" w:rsidRDefault="003C2629" w14:paraId="3064C75B" w14:textId="41F84995">
      <w:pPr>
        <w:numPr>
          <w:ilvl w:val="1"/>
          <w:numId w:val="15"/>
        </w:numPr>
      </w:pPr>
      <w:r>
        <w:t xml:space="preserve">Strategiczna analiza otoczenia zewnętrznego (np. </w:t>
      </w:r>
      <w:r w:rsidRPr="003C2629">
        <w:t>PESTEL</w:t>
      </w:r>
      <w:r>
        <w:t>, analiza zmian strategicznych konkurentów / grupy referencyjnej)</w:t>
      </w:r>
    </w:p>
    <w:p w:rsidRPr="003C2629" w:rsidR="003C2629" w:rsidP="003C2629" w:rsidRDefault="003C2629" w14:paraId="2540BD42" w14:textId="77777777">
      <w:pPr>
        <w:numPr>
          <w:ilvl w:val="0"/>
          <w:numId w:val="15"/>
        </w:numPr>
      </w:pPr>
      <w:r w:rsidRPr="003C2629">
        <w:rPr>
          <w:b/>
          <w:bCs/>
        </w:rPr>
        <w:t>Przebieg scenariusza (krok po kroku):</w:t>
      </w:r>
      <w:r w:rsidRPr="003C2629">
        <w:t xml:space="preserve"> </w:t>
      </w:r>
    </w:p>
    <w:p w:rsidRPr="003C2629" w:rsidR="003C2629" w:rsidP="003C2629" w:rsidRDefault="003C2629" w14:paraId="3FA96697" w14:textId="77777777">
      <w:pPr>
        <w:numPr>
          <w:ilvl w:val="1"/>
          <w:numId w:val="15"/>
        </w:numPr>
      </w:pPr>
      <w:r w:rsidRPr="003C2629">
        <w:t>Import danych wsadowych z PPM.</w:t>
      </w:r>
    </w:p>
    <w:p w:rsidR="003C2629" w:rsidP="003C2629" w:rsidRDefault="003C2629" w14:paraId="60D191FC" w14:textId="77777777">
      <w:pPr>
        <w:numPr>
          <w:ilvl w:val="1"/>
          <w:numId w:val="15"/>
        </w:numPr>
      </w:pPr>
      <w:r w:rsidRPr="003C2629">
        <w:t>Aktualizacja parametrów makro.</w:t>
      </w:r>
    </w:p>
    <w:p w:rsidRPr="003C2629" w:rsidR="003C2629" w:rsidP="003C2629" w:rsidRDefault="003C2629" w14:paraId="07A80467" w14:textId="71E898E7">
      <w:pPr>
        <w:numPr>
          <w:ilvl w:val="1"/>
          <w:numId w:val="15"/>
        </w:numPr>
      </w:pPr>
      <w:r>
        <w:t>Wprowadzenie hipotez strategicznych i rekomendacji</w:t>
      </w:r>
    </w:p>
    <w:p w:rsidR="003C2629" w:rsidP="003C2629" w:rsidRDefault="003C2629" w14:paraId="62DA564C" w14:textId="274BE7F0">
      <w:pPr>
        <w:numPr>
          <w:ilvl w:val="1"/>
          <w:numId w:val="15"/>
        </w:numPr>
      </w:pPr>
      <w:r w:rsidRPr="003C2629">
        <w:t>Modelowanie scenariuszy</w:t>
      </w:r>
      <w:r>
        <w:t xml:space="preserve"> oraz oceny ich </w:t>
      </w:r>
      <w:proofErr w:type="spellStart"/>
      <w:r>
        <w:t>impaktu</w:t>
      </w:r>
      <w:proofErr w:type="spellEnd"/>
      <w:r>
        <w:t xml:space="preserve"> (KPI strategiczny, CAPEX, EBITDA)</w:t>
      </w:r>
    </w:p>
    <w:p w:rsidRPr="003C2629" w:rsidR="003C2629" w:rsidP="003C2629" w:rsidRDefault="003C2629" w14:paraId="1C9DB587" w14:textId="4C03940A">
      <w:pPr>
        <w:numPr>
          <w:ilvl w:val="1"/>
          <w:numId w:val="15"/>
        </w:numPr>
      </w:pPr>
      <w:r>
        <w:t xml:space="preserve">Określenie wpływu modelowanych scenariuszy na pojemność CAPEX oraz spodziewany impakt na </w:t>
      </w:r>
      <w:proofErr w:type="spellStart"/>
      <w:r>
        <w:t>EBITDę</w:t>
      </w:r>
      <w:proofErr w:type="spellEnd"/>
      <w:r>
        <w:t>,</w:t>
      </w:r>
    </w:p>
    <w:p w:rsidRPr="003C2629" w:rsidR="003C2629" w:rsidP="003C2629" w:rsidRDefault="003C2629" w14:paraId="6D2D9512" w14:textId="77777777">
      <w:pPr>
        <w:numPr>
          <w:ilvl w:val="1"/>
          <w:numId w:val="15"/>
        </w:numPr>
      </w:pPr>
      <w:r w:rsidRPr="003C2629">
        <w:t>Generowanie raportu założeń.</w:t>
      </w:r>
    </w:p>
    <w:p w:rsidRPr="003C2629" w:rsidR="003C2629" w:rsidP="003C2629" w:rsidRDefault="003C2629" w14:paraId="08BCD039" w14:textId="77777777">
      <w:pPr>
        <w:numPr>
          <w:ilvl w:val="0"/>
          <w:numId w:val="15"/>
        </w:numPr>
      </w:pPr>
      <w:r w:rsidRPr="003C2629">
        <w:rPr>
          <w:b/>
          <w:bCs/>
        </w:rPr>
        <w:t>Oczekiwany rezultat:</w:t>
      </w:r>
      <w:r w:rsidRPr="003C2629">
        <w:t xml:space="preserve"> </w:t>
      </w:r>
    </w:p>
    <w:p w:rsidRPr="003C2629" w:rsidR="003C2629" w:rsidP="003C2629" w:rsidRDefault="003C2629" w14:paraId="4E8CD7C6" w14:textId="77777777">
      <w:pPr>
        <w:numPr>
          <w:ilvl w:val="1"/>
          <w:numId w:val="15"/>
        </w:numPr>
      </w:pPr>
      <w:r w:rsidRPr="003C2629">
        <w:lastRenderedPageBreak/>
        <w:t>komplet założeń dla strategii,</w:t>
      </w:r>
    </w:p>
    <w:p w:rsidRPr="003C2629" w:rsidR="003C2629" w:rsidP="003C2629" w:rsidRDefault="003C2629" w14:paraId="0C3EA232" w14:textId="77777777">
      <w:pPr>
        <w:numPr>
          <w:ilvl w:val="1"/>
          <w:numId w:val="15"/>
        </w:numPr>
      </w:pPr>
      <w:r w:rsidRPr="003C2629">
        <w:t xml:space="preserve">wizualizacja w </w:t>
      </w:r>
      <w:proofErr w:type="spellStart"/>
      <w:r w:rsidRPr="003C2629">
        <w:t>dashboardzie</w:t>
      </w:r>
      <w:proofErr w:type="spellEnd"/>
      <w:r w:rsidRPr="003C2629">
        <w:t>.</w:t>
      </w:r>
    </w:p>
    <w:p w:rsidRPr="003C2629" w:rsidR="003C2629" w:rsidP="003C2629" w:rsidRDefault="003C2629" w14:paraId="59E114C8" w14:textId="77777777">
      <w:pPr>
        <w:numPr>
          <w:ilvl w:val="0"/>
          <w:numId w:val="15"/>
        </w:numPr>
      </w:pPr>
      <w:r w:rsidRPr="003C2629">
        <w:rPr>
          <w:b/>
          <w:bCs/>
        </w:rPr>
        <w:t>KPI oceny dostawcy:</w:t>
      </w:r>
      <w:r w:rsidRPr="003C2629">
        <w:t xml:space="preserve"> </w:t>
      </w:r>
    </w:p>
    <w:p w:rsidRPr="003C2629" w:rsidR="003C2629" w:rsidP="003C2629" w:rsidRDefault="003C2629" w14:paraId="2AE71479" w14:textId="77777777">
      <w:pPr>
        <w:numPr>
          <w:ilvl w:val="1"/>
          <w:numId w:val="15"/>
        </w:numPr>
      </w:pPr>
      <w:r w:rsidRPr="003C2629">
        <w:t>integracja,</w:t>
      </w:r>
    </w:p>
    <w:p w:rsidRPr="003C2629" w:rsidR="003C2629" w:rsidP="003C2629" w:rsidRDefault="003C2629" w14:paraId="7E093B4C" w14:textId="77777777">
      <w:pPr>
        <w:numPr>
          <w:ilvl w:val="1"/>
          <w:numId w:val="15"/>
        </w:numPr>
      </w:pPr>
      <w:r w:rsidRPr="003C2629">
        <w:t>ergonomia,</w:t>
      </w:r>
    </w:p>
    <w:p w:rsidRPr="003C2629" w:rsidR="003C2629" w:rsidP="003C2629" w:rsidRDefault="003C2629" w14:paraId="4334CE8A" w14:textId="4AAB4F8D">
      <w:pPr>
        <w:numPr>
          <w:ilvl w:val="1"/>
          <w:numId w:val="15"/>
        </w:numPr>
        <w:rPr/>
      </w:pPr>
      <w:r w:rsidR="003C2629">
        <w:rPr/>
        <w:t>czas wykonania kroków</w:t>
      </w:r>
      <w:r w:rsidR="58648CFF">
        <w:rPr/>
        <w:t>,</w:t>
      </w:r>
    </w:p>
    <w:p w:rsidR="58648CFF" w:rsidP="0FFA3208" w:rsidRDefault="58648CFF" w14:paraId="1A81F354" w14:textId="352623AB">
      <w:pPr>
        <w:numPr>
          <w:ilvl w:val="1"/>
          <w:numId w:val="15"/>
        </w:numPr>
        <w:rPr/>
      </w:pPr>
      <w:r w:rsidR="58648CFF">
        <w:rPr/>
        <w:t>Kompleksowość i integracja danych na poziomie strategicznym.</w:t>
      </w:r>
    </w:p>
    <w:p w:rsidR="003C2629" w:rsidP="003C2629" w:rsidRDefault="003C2629" w14:paraId="4C9A3FC6" w14:textId="2D81E827">
      <w:r w:rsidRPr="0FFA3208" w:rsidR="003C2629">
        <w:rPr>
          <w:b w:val="1"/>
          <w:bCs w:val="1"/>
        </w:rPr>
        <w:t>Korzyść:</w:t>
      </w:r>
      <w:r w:rsidR="003C2629">
        <w:rPr/>
        <w:t xml:space="preserve"> dostawcy prezentują </w:t>
      </w:r>
      <w:r w:rsidR="003C2629">
        <w:rPr/>
        <w:t xml:space="preserve">sposób przeprowadzenia </w:t>
      </w:r>
      <w:r w:rsidR="000B4190">
        <w:rPr/>
        <w:t>Use</w:t>
      </w:r>
      <w:r w:rsidR="000B4190">
        <w:rPr/>
        <w:t xml:space="preserve"> </w:t>
      </w:r>
      <w:r w:rsidR="43DCC55C">
        <w:rPr/>
        <w:t>C</w:t>
      </w:r>
      <w:r w:rsidR="000B4190">
        <w:rPr/>
        <w:t>ase</w:t>
      </w:r>
      <w:r w:rsidR="003C2629">
        <w:rPr/>
        <w:t xml:space="preserve"> w oparciu o rekomendowany moduł systemu EPM (realizujący funkcjonalności systemu SPM).</w:t>
      </w:r>
      <w:r>
        <w:br/>
      </w:r>
    </w:p>
    <w:p w:rsidR="003C2629" w:rsidP="00F95BD8" w:rsidRDefault="003C2629" w14:paraId="02BBE66C" w14:textId="028FC416">
      <w:r>
        <w:t xml:space="preserve">Dodatkowym atutem modelu jest realizowanie przeglądu rewizji wysokosparametryzowanych założeń strategii w układzie ciągłym, przy założeniu zmian kluczowych parametrów wpływających na realizacje poszczególnych Programów / Inicjatyw / KPI strategicznych (np. zmiana scenariusza makro, zmiana </w:t>
      </w:r>
      <w:proofErr w:type="spellStart"/>
      <w:r>
        <w:t>cost</w:t>
      </w:r>
      <w:proofErr w:type="spellEnd"/>
      <w:r>
        <w:t xml:space="preserve"> of compliance pod wpływem zmian regulacji, istotne opóźnienia realizacji projektów strategicznych).</w:t>
      </w:r>
    </w:p>
    <w:p w:rsidR="003C2629" w:rsidP="00F95BD8" w:rsidRDefault="003C2629" w14:paraId="38AFAEF6" w14:textId="77777777"/>
    <w:p w:rsidR="0FFA3208" w:rsidRDefault="0FFA3208" w14:paraId="1694F51D" w14:textId="0E909B66"/>
    <w:p w:rsidR="0FFA3208" w:rsidRDefault="0FFA3208" w14:paraId="70DA85CD" w14:textId="2111B6CD"/>
    <w:p w:rsidRPr="00D43D54" w:rsidR="00D43D54" w:rsidP="00D43D54" w:rsidRDefault="00D43D54" w14:paraId="4EE80B4D" w14:textId="5F04DB12">
      <w:r w:rsidRPr="00D43D54">
        <w:rPr>
          <w:b/>
          <w:bCs/>
        </w:rPr>
        <w:t>KPI oceny funkcjonalności systemu</w:t>
      </w:r>
      <w:r w:rsidRPr="00D43D54">
        <w:t xml:space="preserve">: </w:t>
      </w:r>
    </w:p>
    <w:p w:rsidRPr="00D43D54" w:rsidR="00D43D54" w:rsidP="00D43D54" w:rsidRDefault="00D43D54" w14:paraId="37066702" w14:textId="77777777">
      <w:pPr>
        <w:numPr>
          <w:ilvl w:val="0"/>
          <w:numId w:val="10"/>
        </w:numPr>
      </w:pPr>
      <w:r w:rsidRPr="00D43D54">
        <w:t>Integracja z PPM/EPM i platformą danych,</w:t>
      </w:r>
    </w:p>
    <w:p w:rsidRPr="00D43D54" w:rsidR="00D43D54" w:rsidP="00D43D54" w:rsidRDefault="00D43D54" w14:paraId="0BAA8FFF" w14:textId="77777777">
      <w:pPr>
        <w:numPr>
          <w:ilvl w:val="0"/>
          <w:numId w:val="10"/>
        </w:numPr>
      </w:pPr>
      <w:r w:rsidRPr="00D43D54">
        <w:t>Obsługa scenariuszy „co-jeśli”,</w:t>
      </w:r>
    </w:p>
    <w:p w:rsidRPr="00D43D54" w:rsidR="00D43D54" w:rsidP="00D43D54" w:rsidRDefault="00D43D54" w14:paraId="2962DC11" w14:textId="77777777">
      <w:pPr>
        <w:numPr>
          <w:ilvl w:val="0"/>
          <w:numId w:val="10"/>
        </w:numPr>
      </w:pPr>
      <w:r w:rsidRPr="00D43D54">
        <w:t>Automatyzacja raportów i dashboardów,</w:t>
      </w:r>
    </w:p>
    <w:p w:rsidRPr="00D43D54" w:rsidR="00D43D54" w:rsidP="00D43D54" w:rsidRDefault="00D43D54" w14:paraId="50A13504" w14:textId="77777777">
      <w:pPr>
        <w:numPr>
          <w:ilvl w:val="0"/>
          <w:numId w:val="10"/>
        </w:numPr>
        <w:rPr/>
      </w:pPr>
      <w:r w:rsidR="00D43D54">
        <w:rPr/>
        <w:t>Ergonomia interfejsu.</w:t>
      </w:r>
    </w:p>
    <w:p w:rsidR="20160485" w:rsidP="0FFA3208" w:rsidRDefault="20160485" w14:paraId="288D9904" w14:textId="206746AB">
      <w:pPr>
        <w:numPr>
          <w:ilvl w:val="0"/>
          <w:numId w:val="10"/>
        </w:numPr>
        <w:rPr/>
      </w:pPr>
      <w:r w:rsidR="20160485">
        <w:rPr/>
        <w:t>Orkiestracja pracy agentów AI</w:t>
      </w:r>
    </w:p>
    <w:p w:rsidR="00F95BD8" w:rsidRDefault="00F95BD8" w14:paraId="2A321C78" w14:textId="3D369A8B">
      <w:r w:rsidRPr="0FFA3208" w:rsidR="00D43D54">
        <w:rPr>
          <w:b w:val="1"/>
          <w:bCs w:val="1"/>
        </w:rPr>
        <w:t>Skala oceny</w:t>
      </w:r>
      <w:r w:rsidR="00D43D54">
        <w:rPr/>
        <w:t>: 1–5 (1 – brak funkcjonalności, 5 – pełna zgodność)</w:t>
      </w:r>
    </w:p>
    <w:p w:rsidRPr="004F4B6F" w:rsidR="00056415" w:rsidP="00056415" w:rsidRDefault="00056415" w14:paraId="31FF009C" w14:textId="77777777">
      <w:pPr>
        <w:rPr>
          <w:rFonts w:ascii="Arial" w:hAnsi="Arial" w:cs="Arial"/>
          <w:i/>
          <w:iCs/>
          <w:smallCaps/>
          <w:color w:val="171717" w:themeColor="background2" w:themeShade="1A"/>
          <w:sz w:val="36"/>
          <w:szCs w:val="36"/>
          <w:lang w:val="en-US"/>
        </w:rPr>
      </w:pPr>
    </w:p>
    <w:p w:rsidR="009A180E" w:rsidP="00F95BD8" w:rsidRDefault="009A180E" w14:paraId="577F2293" w14:textId="60E2D376">
      <w:pPr>
        <w:pStyle w:val="Nagwek1"/>
        <w:numPr>
          <w:ilvl w:val="2"/>
          <w:numId w:val="3"/>
        </w:numPr>
        <w:spacing w:before="0" w:after="0" w:line="240" w:lineRule="auto"/>
        <w:ind w:left="993" w:hanging="993"/>
        <w:rPr>
          <w:rFonts w:ascii="Arial" w:hAnsi="Arial" w:cs="Arial"/>
          <w:b w:val="1"/>
          <w:bCs w:val="1"/>
          <w:color w:val="auto"/>
          <w:sz w:val="28"/>
          <w:szCs w:val="28"/>
        </w:rPr>
      </w:pPr>
      <w:bookmarkStart w:name="_Toc817200801" w:id="255554240"/>
      <w:r w:rsidRPr="0FFA3208" w:rsidR="009A180E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Opis 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>Use</w:t>
      </w:r>
      <w:r w:rsidRPr="0FFA3208" w:rsidR="000B4190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case</w:t>
      </w:r>
      <w:bookmarkEnd w:id="255554240"/>
      <w:r w:rsidRPr="0FFA3208" w:rsidR="009A180E">
        <w:rPr>
          <w:rFonts w:ascii="Arial" w:hAnsi="Arial" w:cs="Arial"/>
          <w:b w:val="1"/>
          <w:bCs w:val="1"/>
          <w:color w:val="auto"/>
          <w:sz w:val="28"/>
          <w:szCs w:val="28"/>
        </w:rPr>
        <w:t xml:space="preserve"> </w:t>
      </w:r>
    </w:p>
    <w:p w:rsidR="00D43D54" w:rsidP="00D43D54" w:rsidRDefault="00D43D54" w14:paraId="091F6F15" w14:textId="77777777"/>
    <w:p w:rsidRPr="00D43D54" w:rsidR="00D43D54" w:rsidP="00D43D54" w:rsidRDefault="00D43D54" w14:paraId="237B1021" w14:textId="77777777">
      <w:r w:rsidRPr="00D43D54">
        <w:t>Scenariusz obejmuje:</w:t>
      </w:r>
    </w:p>
    <w:p w:rsidRPr="00D43D54" w:rsidR="00D43D54" w:rsidP="00D43D54" w:rsidRDefault="00D43D54" w14:paraId="4326850D" w14:textId="77777777">
      <w:pPr>
        <w:numPr>
          <w:ilvl w:val="0"/>
          <w:numId w:val="11"/>
        </w:numPr>
      </w:pPr>
      <w:r w:rsidRPr="00D43D54">
        <w:t>Przygotowanie założeń na podstawie raportu z przeglądu strategicznego,</w:t>
      </w:r>
    </w:p>
    <w:p w:rsidRPr="00D43D54" w:rsidR="00D43D54" w:rsidP="00D43D54" w:rsidRDefault="00D43D54" w14:paraId="37CB0D01" w14:textId="77777777">
      <w:pPr>
        <w:numPr>
          <w:ilvl w:val="0"/>
          <w:numId w:val="11"/>
        </w:numPr>
      </w:pPr>
      <w:r w:rsidRPr="00D43D54">
        <w:t xml:space="preserve">Zebranie danych wejściowych (produkty strategiczne, </w:t>
      </w:r>
      <w:proofErr w:type="spellStart"/>
      <w:r w:rsidRPr="00D43D54">
        <w:t>value</w:t>
      </w:r>
      <w:proofErr w:type="spellEnd"/>
      <w:r w:rsidRPr="00D43D54">
        <w:t xml:space="preserve"> </w:t>
      </w:r>
      <w:proofErr w:type="spellStart"/>
      <w:r w:rsidRPr="00D43D54">
        <w:t>framework</w:t>
      </w:r>
      <w:proofErr w:type="spellEnd"/>
      <w:r w:rsidRPr="00D43D54">
        <w:t>, prognozy długoterminowe),</w:t>
      </w:r>
    </w:p>
    <w:p w:rsidRPr="00D43D54" w:rsidR="00D43D54" w:rsidP="00D43D54" w:rsidRDefault="00D43D54" w14:paraId="03BEAB92" w14:textId="77777777">
      <w:pPr>
        <w:numPr>
          <w:ilvl w:val="0"/>
          <w:numId w:val="11"/>
        </w:numPr>
      </w:pPr>
      <w:r w:rsidRPr="00D43D54">
        <w:t>Weryfikację i aktualizację założeń makroekonomicznych,</w:t>
      </w:r>
    </w:p>
    <w:p w:rsidRPr="00D43D54" w:rsidR="00D43D54" w:rsidP="00D43D54" w:rsidRDefault="00D43D54" w14:paraId="44C8A91A" w14:textId="77777777">
      <w:pPr>
        <w:numPr>
          <w:ilvl w:val="0"/>
          <w:numId w:val="11"/>
        </w:numPr>
      </w:pPr>
      <w:r w:rsidRPr="00D43D54">
        <w:t>Określenie kierunków rozwoju i opracowanie modelu strategicznego,</w:t>
      </w:r>
    </w:p>
    <w:p w:rsidRPr="00D43D54" w:rsidR="00D43D54" w:rsidP="00D43D54" w:rsidRDefault="00D43D54" w14:paraId="610C1299" w14:textId="77777777">
      <w:pPr>
        <w:numPr>
          <w:ilvl w:val="0"/>
          <w:numId w:val="11"/>
        </w:numPr>
      </w:pPr>
      <w:r w:rsidRPr="00D43D54">
        <w:t>Opracowanie planu strategicznego (cele, inicjatywy, harmonogram),</w:t>
      </w:r>
    </w:p>
    <w:p w:rsidRPr="00D43D54" w:rsidR="00D43D54" w:rsidP="00D43D54" w:rsidRDefault="00D43D54" w14:paraId="273274B7" w14:textId="77777777">
      <w:pPr>
        <w:numPr>
          <w:ilvl w:val="0"/>
          <w:numId w:val="11"/>
        </w:numPr>
      </w:pPr>
      <w:r w:rsidRPr="00D43D54">
        <w:t>Przygotowanie dokumentu strategii i jego zatwierdzenie przez Zarząd i RN,</w:t>
      </w:r>
    </w:p>
    <w:p w:rsidRPr="00D43D54" w:rsidR="00D43D54" w:rsidP="00D43D54" w:rsidRDefault="00D43D54" w14:paraId="55B450FE" w14:textId="77777777">
      <w:pPr>
        <w:numPr>
          <w:ilvl w:val="0"/>
          <w:numId w:val="11"/>
        </w:numPr>
      </w:pPr>
      <w:r w:rsidRPr="00D43D54">
        <w:t>Komunikację strategii w organizacji (dashboardy w PowerBI),</w:t>
      </w:r>
    </w:p>
    <w:p w:rsidR="00D43D54" w:rsidP="00D43D54" w:rsidRDefault="00D43D54" w14:paraId="0194092D" w14:textId="77777777">
      <w:pPr>
        <w:numPr>
          <w:ilvl w:val="0"/>
          <w:numId w:val="11"/>
        </w:numPr>
      </w:pPr>
      <w:r w:rsidRPr="00D43D54">
        <w:t>Powiązanie z monitoringiem realizacji strategii ORLEN 2035.</w:t>
      </w:r>
    </w:p>
    <w:p w:rsidRPr="00D43D54" w:rsidR="00D43D54" w:rsidP="00D43D54" w:rsidRDefault="00D43D54" w14:paraId="09C833BE" w14:textId="77777777">
      <w:pPr>
        <w:ind w:left="720"/>
      </w:pPr>
    </w:p>
    <w:p w:rsidR="009A180E" w:rsidP="00F95BD8" w:rsidRDefault="00F95BD8" w14:paraId="0C062139" w14:textId="294668F1">
      <w:pPr>
        <w:pStyle w:val="Nagwek1"/>
        <w:numPr>
          <w:ilvl w:val="2"/>
          <w:numId w:val="3"/>
        </w:numPr>
        <w:spacing w:before="0" w:after="0" w:line="240" w:lineRule="auto"/>
        <w:ind w:left="993" w:hanging="993"/>
        <w:rPr>
          <w:rFonts w:ascii="Arial" w:hAnsi="Arial" w:cs="Arial"/>
          <w:b w:val="1"/>
          <w:bCs w:val="1"/>
          <w:color w:val="auto"/>
          <w:sz w:val="28"/>
          <w:szCs w:val="28"/>
        </w:rPr>
      </w:pPr>
      <w:bookmarkStart w:name="_Toc784312487" w:id="2136214166"/>
      <w:r w:rsidRPr="0FFA3208" w:rsidR="00F95BD8">
        <w:rPr>
          <w:rFonts w:ascii="Arial" w:hAnsi="Arial" w:cs="Arial"/>
          <w:b w:val="1"/>
          <w:bCs w:val="1"/>
          <w:color w:val="auto"/>
          <w:sz w:val="28"/>
          <w:szCs w:val="28"/>
        </w:rPr>
        <w:t>Sposób przedstawienia funkcjonalności</w:t>
      </w:r>
      <w:bookmarkEnd w:id="2136214166"/>
    </w:p>
    <w:p w:rsidR="00D43D54" w:rsidP="00D43D54" w:rsidRDefault="00D43D54" w14:paraId="603B33D4" w14:textId="77777777"/>
    <w:p w:rsidRPr="00D43D54" w:rsidR="00D43D54" w:rsidP="00D43D54" w:rsidRDefault="00D43D54" w14:paraId="41E48FE2" w14:textId="45E4B53B">
      <w:r w:rsidRPr="00D43D54">
        <w:t xml:space="preserve"> </w:t>
      </w:r>
      <w:r w:rsidRPr="00D43D54">
        <w:rPr>
          <w:b/>
          <w:bCs/>
        </w:rPr>
        <w:t>Forma prezentacji</w:t>
      </w:r>
      <w:r w:rsidRPr="00D43D54">
        <w:t xml:space="preserve">: live demo z wykorzystaniem danych testowych ORLEN, </w:t>
      </w:r>
    </w:p>
    <w:p w:rsidRPr="00D43D54" w:rsidR="00D43D54" w:rsidP="00D43D54" w:rsidRDefault="00D43D54" w14:paraId="7870BBF2" w14:textId="3821BC2B">
      <w:r w:rsidRPr="00D43D54">
        <w:rPr>
          <w:b/>
          <w:bCs/>
        </w:rPr>
        <w:t>Zakres demonstracji</w:t>
      </w:r>
      <w:r w:rsidRPr="00D43D54">
        <w:t xml:space="preserve">: </w:t>
      </w:r>
    </w:p>
    <w:p w:rsidRPr="00D43D54" w:rsidR="00D43D54" w:rsidP="00D43D54" w:rsidRDefault="00D43D54" w14:paraId="17E733DE" w14:textId="77777777">
      <w:pPr>
        <w:numPr>
          <w:ilvl w:val="0"/>
          <w:numId w:val="12"/>
        </w:numPr>
      </w:pPr>
      <w:r w:rsidRPr="00D43D54">
        <w:t>Tworzenie harmonogramu procesu,</w:t>
      </w:r>
    </w:p>
    <w:p w:rsidR="00EF2F4A" w:rsidP="00D43D54" w:rsidRDefault="00EF2F4A" w14:paraId="6EF5D3CC" w14:textId="2506F409">
      <w:pPr>
        <w:numPr>
          <w:ilvl w:val="0"/>
          <w:numId w:val="12"/>
        </w:numPr>
      </w:pPr>
      <w:r>
        <w:t xml:space="preserve">Zasilenie modelu danymi wynikowymi z innych procesów / systemów [dane testowe PPM] </w:t>
      </w:r>
    </w:p>
    <w:p w:rsidRPr="00D43D54" w:rsidR="00D43D54" w:rsidP="00D43D54" w:rsidRDefault="00D43D54" w14:paraId="1BBD965B" w14:textId="69474A2F">
      <w:pPr>
        <w:numPr>
          <w:ilvl w:val="0"/>
          <w:numId w:val="12"/>
        </w:numPr>
      </w:pPr>
      <w:r w:rsidRPr="00D43D54">
        <w:t>Modelowanie scenariuszy strategicznych,</w:t>
      </w:r>
    </w:p>
    <w:p w:rsidRPr="00D43D54" w:rsidR="00D43D54" w:rsidP="00D43D54" w:rsidRDefault="00D43D54" w14:paraId="533DD834" w14:textId="77777777">
      <w:pPr>
        <w:numPr>
          <w:ilvl w:val="0"/>
          <w:numId w:val="12"/>
        </w:numPr>
      </w:pPr>
      <w:r w:rsidRPr="00D43D54">
        <w:t>Generowanie raportów KPI i wizualizacji,</w:t>
      </w:r>
    </w:p>
    <w:p w:rsidR="00D43D54" w:rsidP="00D43D54" w:rsidRDefault="00D43D54" w14:paraId="069C371C" w14:textId="77777777">
      <w:pPr>
        <w:numPr>
          <w:ilvl w:val="0"/>
          <w:numId w:val="12"/>
        </w:numPr>
      </w:pPr>
      <w:r w:rsidRPr="00D43D54">
        <w:lastRenderedPageBreak/>
        <w:t>Obsługa workflow zatwierdzania założeń i strategii.</w:t>
      </w:r>
    </w:p>
    <w:p w:rsidR="00621B9E" w:rsidP="00621B9E" w:rsidRDefault="00621B9E" w14:paraId="2FD9E53E" w14:textId="77777777"/>
    <w:p w:rsidR="00621B9E" w:rsidP="00621B9E" w:rsidRDefault="00621B9E" w14:paraId="024E1462" w14:textId="77777777"/>
    <w:p w:rsidRPr="00BB6947" w:rsidR="00621B9E" w:rsidP="00621B9E" w:rsidRDefault="00621B9E" w14:paraId="61A1A026" w14:textId="7160B278">
      <w:pPr>
        <w:rPr>
          <w:b/>
          <w:bCs/>
        </w:rPr>
      </w:pPr>
      <w:r w:rsidRPr="00BB6947">
        <w:rPr>
          <w:b/>
          <w:bCs/>
        </w:rPr>
        <w:t xml:space="preserve">Do wizualizacji procesu wykorzystaj dane przygotowane dla </w:t>
      </w:r>
      <w:proofErr w:type="spellStart"/>
      <w:r w:rsidR="000B4190">
        <w:rPr>
          <w:b/>
          <w:bCs/>
        </w:rPr>
        <w:t>Use</w:t>
      </w:r>
      <w:proofErr w:type="spellEnd"/>
      <w:r w:rsidR="000B4190">
        <w:rPr>
          <w:b/>
          <w:bCs/>
        </w:rPr>
        <w:t xml:space="preserve"> case</w:t>
      </w:r>
      <w:r w:rsidRPr="00BB6947">
        <w:rPr>
          <w:b/>
          <w:bCs/>
        </w:rPr>
        <w:t>:</w:t>
      </w:r>
    </w:p>
    <w:p w:rsidR="00621B9E" w:rsidP="00621B9E" w:rsidRDefault="00621B9E" w14:paraId="29F9E942" w14:textId="77777777"/>
    <w:p w:rsidR="00621B9E" w:rsidP="00621B9E" w:rsidRDefault="00BB6947" w14:paraId="1AF9D44E" w14:textId="6D43018B">
      <w:pPr>
        <w:rPr>
          <w:b/>
          <w:bCs/>
        </w:rPr>
      </w:pPr>
      <w:r>
        <w:rPr>
          <w:b/>
          <w:bCs/>
        </w:rPr>
        <w:t xml:space="preserve">Inicjatywa strategiczna (R3): </w:t>
      </w:r>
      <w:r w:rsidRPr="00621B9E" w:rsidR="00621B9E">
        <w:rPr>
          <w:b/>
          <w:bCs/>
        </w:rPr>
        <w:t xml:space="preserve">Rozwój </w:t>
      </w:r>
      <w:proofErr w:type="spellStart"/>
      <w:r w:rsidRPr="00621B9E" w:rsidR="00621B9E">
        <w:rPr>
          <w:b/>
          <w:bCs/>
        </w:rPr>
        <w:t>elektromobilności</w:t>
      </w:r>
      <w:proofErr w:type="spellEnd"/>
    </w:p>
    <w:p w:rsidR="00621B9E" w:rsidP="00621B9E" w:rsidRDefault="00621B9E" w14:paraId="24C4F293" w14:textId="77777777">
      <w:pPr>
        <w:rPr>
          <w:b/>
          <w:bCs/>
        </w:rPr>
      </w:pPr>
    </w:p>
    <w:p w:rsidR="00621B9E" w:rsidP="0FFA3208" w:rsidRDefault="00621B9E" w14:paraId="72F8EECB" w14:textId="0F13A6D0">
      <w:pPr>
        <w:pStyle w:val="Normalny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</w:pPr>
      <w:r w:rsidRPr="0FFA3208" w:rsidR="00621B9E">
        <w:rPr>
          <w:b w:val="1"/>
          <w:bCs w:val="1"/>
        </w:rPr>
        <w:t>Executive</w:t>
      </w:r>
      <w:r w:rsidRPr="0FFA3208" w:rsidR="00621B9E">
        <w:rPr>
          <w:b w:val="1"/>
          <w:bCs w:val="1"/>
        </w:rPr>
        <w:t xml:space="preserve"> </w:t>
      </w:r>
      <w:r w:rsidRPr="0FFA3208" w:rsidR="00621B9E">
        <w:rPr>
          <w:b w:val="1"/>
          <w:bCs w:val="1"/>
        </w:rPr>
        <w:t>Summary</w:t>
      </w:r>
      <w:r w:rsidRPr="0FFA3208" w:rsidR="00621B9E">
        <w:rPr>
          <w:b w:val="1"/>
          <w:bCs w:val="1"/>
        </w:rPr>
        <w:t xml:space="preserve"> Programu</w:t>
      </w:r>
      <w:r w:rsidRPr="0FFA3208" w:rsidR="00621B9E">
        <w:rPr>
          <w:b w:val="1"/>
          <w:bCs w:val="1"/>
        </w:rPr>
        <w:t xml:space="preserve">: </w:t>
      </w:r>
      <w:r w:rsidR="00621B9E">
        <w:rPr/>
        <w:t xml:space="preserve">Obszar </w:t>
      </w:r>
      <w:r w:rsidR="00621B9E">
        <w:rPr/>
        <w:t>elektromobilności</w:t>
      </w:r>
      <w:r w:rsidR="00621B9E">
        <w:rPr/>
        <w:t xml:space="preserve"> realizuje KPI z </w:t>
      </w:r>
      <w:r w:rsidR="1E2087D2">
        <w:rPr/>
        <w:t>ponad założenia strategiczne,</w:t>
      </w:r>
      <w:r w:rsidR="00621B9E">
        <w:rPr/>
        <w:t xml:space="preserve"> zgodnie z wcześniejszymi przewidywaniami, nastąpiło dalsze umocnienie wyników</w:t>
      </w:r>
    </w:p>
    <w:p w:rsidR="00621B9E" w:rsidP="00621B9E" w:rsidRDefault="00621B9E" w14:paraId="2A812B62" w14:textId="77777777"/>
    <w:p w:rsidR="00621B9E" w:rsidP="00621B9E" w:rsidRDefault="00621B9E" w14:paraId="680474A9" w14:textId="4B88A77D">
      <w:r w:rsidRPr="00621B9E">
        <w:t>KPI</w:t>
      </w:r>
      <w:r>
        <w:t>:</w:t>
      </w:r>
      <w:r w:rsidRPr="00621B9E">
        <w:t xml:space="preserve"> Udział w publicznym rynku energii EV w PL szybkiego ładowania (DC), (%)</w:t>
      </w:r>
    </w:p>
    <w:p w:rsidR="00621B9E" w:rsidP="00621B9E" w:rsidRDefault="00621B9E" w14:paraId="03C65DE9" w14:textId="3DF81B92">
      <w:r>
        <w:t xml:space="preserve">Poziom startu (2024): </w:t>
      </w:r>
      <w:r w:rsidR="00F32694">
        <w:t>4</w:t>
      </w:r>
      <w:r w:rsidRPr="00621B9E">
        <w:t>,</w:t>
      </w:r>
      <w:r w:rsidR="00F32694">
        <w:t>5</w:t>
      </w:r>
      <w:r w:rsidRPr="00621B9E">
        <w:t>%</w:t>
      </w:r>
    </w:p>
    <w:p w:rsidR="00F32694" w:rsidP="00F32694" w:rsidRDefault="00F32694" w14:paraId="401C549F" w14:textId="77777777">
      <w:r>
        <w:t>Cel strategii na Q4 2025: 5.0%</w:t>
      </w:r>
    </w:p>
    <w:p w:rsidR="00621B9E" w:rsidP="00621B9E" w:rsidRDefault="00621B9E" w14:paraId="5C5DADB5" w14:textId="3F9843CD">
      <w:r>
        <w:t xml:space="preserve">Poziom </w:t>
      </w:r>
      <w:r w:rsidR="00F32694">
        <w:t xml:space="preserve">realizacji </w:t>
      </w:r>
      <w:r>
        <w:t>(Q4 2025): 6.5%</w:t>
      </w:r>
    </w:p>
    <w:p w:rsidR="00621B9E" w:rsidP="00621B9E" w:rsidRDefault="00621B9E" w14:paraId="575A9959" w14:textId="59C51381">
      <w:r w:rsidRPr="00621B9E">
        <w:t xml:space="preserve">Zaadresowany </w:t>
      </w:r>
      <w:proofErr w:type="spellStart"/>
      <w:r w:rsidRPr="00621B9E">
        <w:t>pipeline</w:t>
      </w:r>
      <w:proofErr w:type="spellEnd"/>
      <w:r w:rsidRPr="00621B9E">
        <w:t xml:space="preserve"> projektów na 2030</w:t>
      </w:r>
      <w:r>
        <w:t>: 21.5%</w:t>
      </w:r>
    </w:p>
    <w:p w:rsidR="00621B9E" w:rsidP="00621B9E" w:rsidRDefault="00621B9E" w14:paraId="6857BF0E" w14:textId="2C9FB441">
      <w:r>
        <w:t xml:space="preserve">Luka do pokrycia na 2030: 2%; luka do pokrycia na rok 2035: </w:t>
      </w:r>
      <w:r w:rsidR="004240B2">
        <w:t>7</w:t>
      </w:r>
      <w:r>
        <w:t>%</w:t>
      </w:r>
    </w:p>
    <w:p w:rsidR="00621B9E" w:rsidP="00621B9E" w:rsidRDefault="00621B9E" w14:paraId="0850124B" w14:textId="106D39E2">
      <w:r w:rsidRPr="00621B9E">
        <w:t>Rekomendacja do przeglądu Strategii</w:t>
      </w:r>
      <w:r>
        <w:t xml:space="preserve">: </w:t>
      </w:r>
      <w:r w:rsidRPr="00621B9E">
        <w:t>Zgodny ze ścieżką</w:t>
      </w:r>
      <w:r>
        <w:t>, rozszerzenie działalności na rynkach zagranicznych, na których obecny jest segment Retail (ORLEN)</w:t>
      </w:r>
    </w:p>
    <w:p w:rsidR="00621B9E" w:rsidP="00621B9E" w:rsidRDefault="00621B9E" w14:paraId="74D7A885" w14:textId="77777777"/>
    <w:p w:rsidR="00621B9E" w:rsidP="00621B9E" w:rsidRDefault="00621B9E" w14:paraId="253C2446" w14:textId="1271CBB9">
      <w:r w:rsidRPr="00621B9E">
        <w:t>Zrealizowane działania kontrybuujące do realizacji Inicjatywy</w:t>
      </w:r>
      <w:r>
        <w:t>:</w:t>
      </w:r>
    </w:p>
    <w:p w:rsidR="00621B9E" w:rsidP="00621B9E" w:rsidRDefault="00621B9E" w14:paraId="6F62C439" w14:textId="63096A10">
      <w:r w:rsidRPr="00621B9E">
        <w:t xml:space="preserve">•Nowy system centralny –publikacja wersji MVP modułu ORLEN </w:t>
      </w:r>
      <w:proofErr w:type="spellStart"/>
      <w:r w:rsidRPr="00621B9E">
        <w:t>Charge</w:t>
      </w:r>
      <w:proofErr w:type="spellEnd"/>
      <w:r>
        <w:t xml:space="preserve"> w</w:t>
      </w:r>
      <w:r w:rsidRPr="00621B9E">
        <w:t xml:space="preserve"> aplikacji VITAY; development, </w:t>
      </w:r>
      <w:proofErr w:type="spellStart"/>
      <w:r w:rsidRPr="00621B9E">
        <w:t>customizacji</w:t>
      </w:r>
      <w:proofErr w:type="spellEnd"/>
      <w:r w:rsidRPr="00621B9E">
        <w:t xml:space="preserve"> testy po stronie dostawcy systemu, aktualizacja analizy biznesowej</w:t>
      </w:r>
      <w:r w:rsidRPr="00621B9E">
        <w:rPr>
          <w:rFonts w:ascii="Arial" w:hAnsi="Arial" w:cs="Arial"/>
        </w:rPr>
        <w:t>​</w:t>
      </w:r>
      <w:r w:rsidRPr="00621B9E">
        <w:rPr>
          <w:rFonts w:ascii="Aptos" w:hAnsi="Aptos" w:cs="Aptos"/>
        </w:rPr>
        <w:t>•</w:t>
      </w:r>
      <w:r w:rsidRPr="00621B9E">
        <w:t>Rozw</w:t>
      </w:r>
      <w:r w:rsidRPr="00621B9E">
        <w:rPr>
          <w:rFonts w:ascii="Aptos" w:hAnsi="Aptos" w:cs="Aptos"/>
        </w:rPr>
        <w:t>ó</w:t>
      </w:r>
      <w:r w:rsidRPr="00621B9E">
        <w:t>j nowych punkt</w:t>
      </w:r>
      <w:r w:rsidRPr="00621B9E">
        <w:rPr>
          <w:rFonts w:ascii="Aptos" w:hAnsi="Aptos" w:cs="Aptos"/>
        </w:rPr>
        <w:t>ó</w:t>
      </w:r>
      <w:r w:rsidRPr="00621B9E">
        <w:t xml:space="preserve">w </w:t>
      </w:r>
      <w:r w:rsidRPr="00621B9E">
        <w:rPr>
          <w:rFonts w:ascii="Aptos" w:hAnsi="Aptos" w:cs="Aptos"/>
        </w:rPr>
        <w:t>ł</w:t>
      </w:r>
      <w:r w:rsidRPr="00621B9E">
        <w:t xml:space="preserve">adowania </w:t>
      </w:r>
      <w:r w:rsidRPr="00621B9E">
        <w:rPr>
          <w:rFonts w:ascii="Aptos" w:hAnsi="Aptos" w:cs="Aptos"/>
        </w:rPr>
        <w:t>–</w:t>
      </w:r>
      <w:r w:rsidRPr="00621B9E">
        <w:t xml:space="preserve">wybudowano i odebrano 11 wielostanowiskowych stacji; wybudowano 6 pierwszych stacji </w:t>
      </w:r>
      <w:r w:rsidRPr="00621B9E">
        <w:rPr>
          <w:rFonts w:ascii="Aptos" w:hAnsi="Aptos" w:cs="Aptos"/>
        </w:rPr>
        <w:t>ł</w:t>
      </w:r>
      <w:r w:rsidRPr="00621B9E">
        <w:t xml:space="preserve">adowania </w:t>
      </w:r>
      <w:proofErr w:type="spellStart"/>
      <w:r w:rsidRPr="00621B9E">
        <w:t>standalone</w:t>
      </w:r>
      <w:proofErr w:type="spellEnd"/>
      <w:r w:rsidRPr="00621B9E">
        <w:t>+ odebrano 5 stacji na by</w:t>
      </w:r>
      <w:r w:rsidRPr="00621B9E">
        <w:rPr>
          <w:rFonts w:ascii="Aptos" w:hAnsi="Aptos" w:cs="Aptos"/>
        </w:rPr>
        <w:t>ł</w:t>
      </w:r>
      <w:r w:rsidRPr="00621B9E">
        <w:t>ych LOTOS</w:t>
      </w:r>
      <w:r w:rsidRPr="00621B9E">
        <w:rPr>
          <w:rFonts w:ascii="Arial" w:hAnsi="Arial" w:cs="Arial"/>
        </w:rPr>
        <w:t>​</w:t>
      </w:r>
      <w:r w:rsidRPr="00621B9E">
        <w:t xml:space="preserve"> </w:t>
      </w:r>
      <w:r w:rsidRPr="00621B9E">
        <w:rPr>
          <w:rFonts w:ascii="Aptos" w:hAnsi="Aptos" w:cs="Aptos"/>
        </w:rPr>
        <w:t>•</w:t>
      </w:r>
      <w:r w:rsidRPr="00621B9E">
        <w:t>Oferta produktowa i sprzeda</w:t>
      </w:r>
      <w:r w:rsidRPr="00621B9E">
        <w:rPr>
          <w:rFonts w:ascii="Aptos" w:hAnsi="Aptos" w:cs="Aptos"/>
        </w:rPr>
        <w:t>ż</w:t>
      </w:r>
      <w:r w:rsidRPr="00621B9E">
        <w:t xml:space="preserve"> B2B/B2C </w:t>
      </w:r>
      <w:r w:rsidRPr="00621B9E">
        <w:rPr>
          <w:rFonts w:ascii="Aptos" w:hAnsi="Aptos" w:cs="Aptos"/>
        </w:rPr>
        <w:t>–</w:t>
      </w:r>
      <w:r w:rsidRPr="00621B9E">
        <w:t>opracowana strategia ustalania cen produkt</w:t>
      </w:r>
      <w:r w:rsidRPr="00621B9E">
        <w:rPr>
          <w:rFonts w:ascii="Aptos" w:hAnsi="Aptos" w:cs="Aptos"/>
        </w:rPr>
        <w:t>ó</w:t>
      </w:r>
      <w:r w:rsidRPr="00621B9E">
        <w:t>w i us</w:t>
      </w:r>
      <w:r w:rsidRPr="00621B9E">
        <w:rPr>
          <w:rFonts w:ascii="Aptos" w:hAnsi="Aptos" w:cs="Aptos"/>
        </w:rPr>
        <w:t>ł</w:t>
      </w:r>
      <w:r w:rsidRPr="00621B9E">
        <w:t>ug; opracowany projekt polityki udzielania rabat</w:t>
      </w:r>
      <w:r w:rsidRPr="00621B9E">
        <w:rPr>
          <w:rFonts w:ascii="Aptos" w:hAnsi="Aptos" w:cs="Aptos"/>
        </w:rPr>
        <w:t>ó</w:t>
      </w:r>
      <w:r w:rsidRPr="00621B9E">
        <w:t xml:space="preserve">w; </w:t>
      </w:r>
      <w:proofErr w:type="spellStart"/>
      <w:r w:rsidRPr="00621B9E">
        <w:t>roaming</w:t>
      </w:r>
      <w:proofErr w:type="spellEnd"/>
      <w:r w:rsidRPr="00621B9E">
        <w:t>-porozumienie z pośrednikiem DCS</w:t>
      </w:r>
      <w:r>
        <w:t>.</w:t>
      </w:r>
    </w:p>
    <w:p w:rsidR="00621B9E" w:rsidP="00621B9E" w:rsidRDefault="00621B9E" w14:paraId="02DD453C" w14:textId="77777777"/>
    <w:p w:rsidR="00621B9E" w:rsidP="00621B9E" w:rsidRDefault="00621B9E" w14:paraId="4118C709" w14:textId="0F2A5E28">
      <w:r w:rsidRPr="00621B9E">
        <w:t>Najważniejsze wyzwania Programu w horyzoncie 3-6 miesięcy</w:t>
      </w:r>
      <w:r>
        <w:t>:</w:t>
      </w:r>
    </w:p>
    <w:p w:rsidRPr="00621B9E" w:rsidR="00621B9E" w:rsidP="00621B9E" w:rsidRDefault="00621B9E" w14:paraId="193E8024" w14:textId="77777777">
      <w:pPr>
        <w:pStyle w:val="Akapitzlist"/>
        <w:numPr>
          <w:ilvl w:val="0"/>
          <w:numId w:val="17"/>
        </w:numPr>
      </w:pPr>
      <w:r w:rsidRPr="00621B9E">
        <w:t>Nowy system centralny –</w:t>
      </w:r>
      <w:r>
        <w:t xml:space="preserve"> </w:t>
      </w:r>
      <w:r w:rsidRPr="00621B9E">
        <w:t xml:space="preserve">stabilizacja i rozwój modułu ORLEN </w:t>
      </w:r>
      <w:proofErr w:type="spellStart"/>
      <w:r w:rsidRPr="00621B9E">
        <w:t>Charge</w:t>
      </w:r>
      <w:proofErr w:type="spellEnd"/>
      <w:r>
        <w:t xml:space="preserve"> </w:t>
      </w:r>
      <w:r w:rsidRPr="00621B9E">
        <w:t>w aplikacji VITAY, przygotowanie środowiska testowego i produkcyjnego nowego systemu centralnego</w:t>
      </w:r>
    </w:p>
    <w:p w:rsidR="00621B9E" w:rsidP="00621B9E" w:rsidRDefault="00621B9E" w14:paraId="5BB2AF55" w14:textId="3F8617DB">
      <w:pPr>
        <w:pStyle w:val="Akapitzlist"/>
        <w:numPr>
          <w:ilvl w:val="0"/>
          <w:numId w:val="17"/>
        </w:numPr>
      </w:pPr>
      <w:r w:rsidRPr="00621B9E">
        <w:t>Rozw</w:t>
      </w:r>
      <w:r w:rsidRPr="00621B9E">
        <w:rPr>
          <w:rFonts w:ascii="Aptos" w:hAnsi="Aptos" w:cs="Aptos"/>
        </w:rPr>
        <w:t>ó</w:t>
      </w:r>
      <w:r w:rsidRPr="00621B9E">
        <w:t>j nowych punkt</w:t>
      </w:r>
      <w:r w:rsidRPr="00621B9E">
        <w:rPr>
          <w:rFonts w:ascii="Aptos" w:hAnsi="Aptos" w:cs="Aptos"/>
        </w:rPr>
        <w:t>ó</w:t>
      </w:r>
      <w:r w:rsidRPr="00621B9E">
        <w:t xml:space="preserve">w </w:t>
      </w:r>
      <w:r w:rsidRPr="00621B9E">
        <w:rPr>
          <w:rFonts w:ascii="Aptos" w:hAnsi="Aptos" w:cs="Aptos"/>
        </w:rPr>
        <w:t>ł</w:t>
      </w:r>
      <w:r w:rsidRPr="00621B9E">
        <w:t xml:space="preserve">adowania </w:t>
      </w:r>
      <w:r w:rsidRPr="00621B9E">
        <w:rPr>
          <w:rFonts w:ascii="Aptos" w:hAnsi="Aptos" w:cs="Aptos"/>
        </w:rPr>
        <w:t>–</w:t>
      </w:r>
      <w:r w:rsidRPr="00621B9E">
        <w:t xml:space="preserve">w 2026 roku uruchomienie </w:t>
      </w:r>
      <w:r>
        <w:t>4</w:t>
      </w:r>
      <w:r w:rsidRPr="00621B9E">
        <w:t>0+ stand</w:t>
      </w:r>
      <w:r>
        <w:t xml:space="preserve"> </w:t>
      </w:r>
      <w:proofErr w:type="spellStart"/>
      <w:r w:rsidRPr="00621B9E">
        <w:t>alone</w:t>
      </w:r>
      <w:proofErr w:type="spellEnd"/>
      <w:r>
        <w:t xml:space="preserve"> </w:t>
      </w:r>
      <w:r w:rsidRPr="00621B9E">
        <w:t xml:space="preserve">oraz </w:t>
      </w:r>
      <w:r>
        <w:t xml:space="preserve">5 </w:t>
      </w:r>
      <w:r w:rsidRPr="00621B9E">
        <w:t xml:space="preserve">HUB </w:t>
      </w:r>
      <w:r w:rsidRPr="00621B9E">
        <w:rPr>
          <w:rFonts w:ascii="Aptos" w:hAnsi="Aptos" w:cs="Aptos"/>
        </w:rPr>
        <w:t>ó</w:t>
      </w:r>
      <w:r w:rsidRPr="00621B9E">
        <w:t xml:space="preserve">w </w:t>
      </w:r>
      <w:r w:rsidRPr="00621B9E">
        <w:rPr>
          <w:rFonts w:ascii="Aptos" w:hAnsi="Aptos" w:cs="Aptos"/>
        </w:rPr>
        <w:t>ł</w:t>
      </w:r>
      <w:r w:rsidRPr="00621B9E">
        <w:t>adowania + wybudowanie 1</w:t>
      </w:r>
      <w:r>
        <w:t>0</w:t>
      </w:r>
      <w:r w:rsidRPr="00621B9E">
        <w:t>-</w:t>
      </w:r>
      <w:r>
        <w:t>12</w:t>
      </w:r>
      <w:r w:rsidRPr="00621B9E">
        <w:t xml:space="preserve"> HUB-</w:t>
      </w:r>
      <w:r w:rsidRPr="00621B9E">
        <w:rPr>
          <w:rFonts w:ascii="Aptos" w:hAnsi="Aptos" w:cs="Aptos"/>
        </w:rPr>
        <w:t>ó</w:t>
      </w:r>
      <w:r w:rsidRPr="00621B9E">
        <w:t>w, kt</w:t>
      </w:r>
      <w:r w:rsidRPr="00621B9E">
        <w:rPr>
          <w:rFonts w:ascii="Aptos" w:hAnsi="Aptos" w:cs="Aptos"/>
        </w:rPr>
        <w:t>ó</w:t>
      </w:r>
      <w:r w:rsidRPr="00621B9E">
        <w:t>re b</w:t>
      </w:r>
      <w:r w:rsidRPr="00621B9E">
        <w:rPr>
          <w:rFonts w:ascii="Aptos" w:hAnsi="Aptos" w:cs="Aptos"/>
        </w:rPr>
        <w:t>ę</w:t>
      </w:r>
      <w:r w:rsidRPr="00621B9E">
        <w:t>d</w:t>
      </w:r>
      <w:r w:rsidRPr="00621B9E">
        <w:rPr>
          <w:rFonts w:ascii="Aptos" w:hAnsi="Aptos" w:cs="Aptos"/>
        </w:rPr>
        <w:t>ą</w:t>
      </w:r>
      <w:r w:rsidRPr="00621B9E">
        <w:t xml:space="preserve"> uruchomione na pocz</w:t>
      </w:r>
      <w:r w:rsidRPr="00621B9E">
        <w:rPr>
          <w:rFonts w:ascii="Aptos" w:hAnsi="Aptos" w:cs="Aptos"/>
        </w:rPr>
        <w:t>ą</w:t>
      </w:r>
      <w:r w:rsidRPr="00621B9E">
        <w:t xml:space="preserve">tku 2027r </w:t>
      </w:r>
    </w:p>
    <w:p w:rsidR="00621B9E" w:rsidP="00621B9E" w:rsidRDefault="00621B9E" w14:paraId="48DCD9CC" w14:textId="5D984A60">
      <w:pPr>
        <w:pStyle w:val="Akapitzlist"/>
        <w:numPr>
          <w:ilvl w:val="0"/>
          <w:numId w:val="17"/>
        </w:numPr>
      </w:pPr>
      <w:r>
        <w:t>Cel rozbudowa 5 tysięcy punktów ładowania na rynkach zagranicznych</w:t>
      </w:r>
    </w:p>
    <w:p w:rsidR="00621B9E" w:rsidP="00621B9E" w:rsidRDefault="00621B9E" w14:paraId="0A970343" w14:textId="1BB5BD4F">
      <w:pPr>
        <w:pStyle w:val="Akapitzlist"/>
        <w:numPr>
          <w:ilvl w:val="0"/>
          <w:numId w:val="17"/>
        </w:numPr>
      </w:pPr>
      <w:r w:rsidRPr="00621B9E">
        <w:t>Oferta produktowa i sprzeda</w:t>
      </w:r>
      <w:r w:rsidRPr="00621B9E">
        <w:rPr>
          <w:rFonts w:ascii="Aptos" w:hAnsi="Aptos" w:cs="Aptos"/>
        </w:rPr>
        <w:t>ż</w:t>
      </w:r>
      <w:r w:rsidRPr="00621B9E">
        <w:t xml:space="preserve"> B2B/B2C </w:t>
      </w:r>
      <w:r w:rsidRPr="00621B9E">
        <w:rPr>
          <w:rFonts w:ascii="Aptos" w:hAnsi="Aptos" w:cs="Aptos"/>
        </w:rPr>
        <w:t>–</w:t>
      </w:r>
      <w:r>
        <w:rPr>
          <w:rFonts w:ascii="Aptos" w:hAnsi="Aptos" w:cs="Aptos"/>
        </w:rPr>
        <w:t xml:space="preserve"> </w:t>
      </w:r>
      <w:r w:rsidRPr="00621B9E">
        <w:t xml:space="preserve">segmentacja </w:t>
      </w:r>
      <w:proofErr w:type="spellStart"/>
      <w:r w:rsidRPr="00621B9E">
        <w:t>eFlota</w:t>
      </w:r>
      <w:proofErr w:type="spellEnd"/>
    </w:p>
    <w:p w:rsidR="00621B9E" w:rsidP="00621B9E" w:rsidRDefault="00621B9E" w14:paraId="5A39D8C2" w14:textId="77777777">
      <w:pPr>
        <w:rPr>
          <w:b/>
          <w:bCs/>
        </w:rPr>
      </w:pPr>
    </w:p>
    <w:p w:rsidR="00621B9E" w:rsidP="00621B9E" w:rsidRDefault="00621B9E" w14:paraId="0D76E030" w14:textId="00E73E03">
      <w:r w:rsidRPr="00621B9E">
        <w:rPr>
          <w:b/>
          <w:bCs/>
        </w:rPr>
        <w:lastRenderedPageBreak/>
        <w:t>Hipoteza strategiczna:</w:t>
      </w:r>
      <w:r>
        <w:t xml:space="preserve"> </w:t>
      </w:r>
      <w:r w:rsidRPr="00621B9E">
        <w:t xml:space="preserve">Należy utrzymać kierunek obrany podczas opracowania Strategii i kontynuować aktywny rozwój sieci ładowania </w:t>
      </w:r>
      <w:proofErr w:type="spellStart"/>
      <w:r w:rsidRPr="00621B9E">
        <w:t>elektromobilności</w:t>
      </w:r>
      <w:proofErr w:type="spellEnd"/>
      <w:r w:rsidRPr="00621B9E">
        <w:t xml:space="preserve"> w Polsce</w:t>
      </w:r>
      <w:r>
        <w:t xml:space="preserve"> oraz rozbudować sieć międzynarodową o 5 </w:t>
      </w:r>
      <w:proofErr w:type="spellStart"/>
      <w:r>
        <w:t>tys</w:t>
      </w:r>
      <w:proofErr w:type="spellEnd"/>
      <w:r>
        <w:t xml:space="preserve"> punktów ładowania EV w krajach (Niemcy, Austria, Czechy, Słowacja, Litwa</w:t>
      </w:r>
      <w:r w:rsidR="00F32694">
        <w:t xml:space="preserve"> i Węgry</w:t>
      </w:r>
      <w:r>
        <w:t>)</w:t>
      </w:r>
    </w:p>
    <w:p w:rsidR="00621B9E" w:rsidP="00621B9E" w:rsidRDefault="00621B9E" w14:paraId="3D66C348" w14:textId="77777777"/>
    <w:p w:rsidR="00621B9E" w:rsidP="0FFA3208" w:rsidRDefault="00621B9E" w14:paraId="0605F5C9" w14:textId="7E6654D9">
      <w:pPr>
        <w:pStyle w:val="Normalny"/>
        <w:suppressLineNumbers w:val="0"/>
        <w:bidi w:val="0"/>
        <w:spacing w:before="0" w:beforeAutospacing="off" w:after="160" w:afterAutospacing="off" w:line="259" w:lineRule="auto"/>
        <w:ind w:left="0" w:right="0"/>
        <w:jc w:val="both"/>
      </w:pPr>
      <w:r w:rsidR="00621B9E">
        <w:rPr/>
        <w:t>Pytania strategiczne</w:t>
      </w:r>
      <w:r w:rsidR="61667CF1">
        <w:rPr/>
        <w:t xml:space="preserve">, odpowiedzi pozyskane w </w:t>
      </w:r>
      <w:r w:rsidR="61667CF1">
        <w:rPr/>
        <w:t>strukturzepracy</w:t>
      </w:r>
      <w:r w:rsidR="61667CF1">
        <w:rPr/>
        <w:t xml:space="preserve"> warsztatowej z liderem inicjatywy strategiczne i skonsultowanie z sponsorem segmentu biznesowego</w:t>
      </w:r>
      <w:r w:rsidR="00621B9E">
        <w:rPr/>
        <w:t>:</w:t>
      </w:r>
    </w:p>
    <w:p w:rsidR="00621B9E" w:rsidP="00F32694" w:rsidRDefault="00621B9E" w14:paraId="0917C655" w14:textId="2E28CFCB">
      <w:pPr>
        <w:pStyle w:val="Akapitzlist"/>
        <w:numPr>
          <w:ilvl w:val="0"/>
          <w:numId w:val="18"/>
        </w:numPr>
      </w:pPr>
      <w:r w:rsidRPr="00621B9E">
        <w:t>ORLEN nadal utrzymuje unikalną przewagę konkurencyjną w kontekście przyszłego rozwoju sieci ładowania pod względem bazy lokalizacji?</w:t>
      </w:r>
    </w:p>
    <w:p w:rsidR="00621B9E" w:rsidP="00F32694" w:rsidRDefault="00621B9E" w14:paraId="77E14F82" w14:textId="671FC7BB">
      <w:pPr>
        <w:ind w:left="360"/>
        <w:rPr>
          <w:i/>
          <w:iCs/>
        </w:rPr>
      </w:pPr>
      <w:r w:rsidRPr="00621B9E">
        <w:rPr>
          <w:i/>
          <w:iCs/>
        </w:rPr>
        <w:t xml:space="preserve">TAK, ORLEN posiada szeroką bazę lokalizacyjną w kontekście publicznego rynku ładowania w tranzycie; najwięksi konkurenci w obszarze </w:t>
      </w:r>
      <w:proofErr w:type="spellStart"/>
      <w:r w:rsidRPr="00621B9E">
        <w:rPr>
          <w:i/>
          <w:iCs/>
        </w:rPr>
        <w:t>electromobility</w:t>
      </w:r>
      <w:proofErr w:type="spellEnd"/>
      <w:r>
        <w:rPr>
          <w:i/>
          <w:iCs/>
        </w:rPr>
        <w:t xml:space="preserve"> </w:t>
      </w:r>
      <w:r w:rsidRPr="00621B9E">
        <w:rPr>
          <w:i/>
          <w:iCs/>
        </w:rPr>
        <w:t xml:space="preserve">(np. </w:t>
      </w:r>
      <w:proofErr w:type="spellStart"/>
      <w:r w:rsidRPr="00621B9E">
        <w:rPr>
          <w:i/>
          <w:iCs/>
        </w:rPr>
        <w:t>Greenway</w:t>
      </w:r>
      <w:proofErr w:type="spellEnd"/>
      <w:r w:rsidRPr="00621B9E">
        <w:rPr>
          <w:i/>
          <w:iCs/>
        </w:rPr>
        <w:t xml:space="preserve">, </w:t>
      </w:r>
      <w:proofErr w:type="spellStart"/>
      <w:r w:rsidRPr="00621B9E">
        <w:rPr>
          <w:i/>
          <w:iCs/>
        </w:rPr>
        <w:t>Ekoen</w:t>
      </w:r>
      <w:proofErr w:type="spellEnd"/>
      <w:r w:rsidRPr="00621B9E">
        <w:rPr>
          <w:i/>
          <w:iCs/>
        </w:rPr>
        <w:t xml:space="preserve">) nadal muszą płacić dzierżawę za lokalizację </w:t>
      </w:r>
      <w:proofErr w:type="spellStart"/>
      <w:r w:rsidRPr="00621B9E">
        <w:rPr>
          <w:i/>
          <w:iCs/>
        </w:rPr>
        <w:t>przystacyjną</w:t>
      </w:r>
      <w:proofErr w:type="spellEnd"/>
      <w:r>
        <w:rPr>
          <w:i/>
          <w:iCs/>
        </w:rPr>
        <w:t xml:space="preserve"> </w:t>
      </w:r>
      <w:r w:rsidRPr="00621B9E">
        <w:rPr>
          <w:i/>
          <w:iCs/>
        </w:rPr>
        <w:t xml:space="preserve">lub </w:t>
      </w:r>
      <w:proofErr w:type="spellStart"/>
      <w:r w:rsidRPr="00621B9E">
        <w:rPr>
          <w:i/>
          <w:iCs/>
        </w:rPr>
        <w:t>greenfield</w:t>
      </w:r>
      <w:proofErr w:type="spellEnd"/>
      <w:r w:rsidRPr="00621B9E">
        <w:rPr>
          <w:i/>
          <w:iCs/>
        </w:rPr>
        <w:t>; a konkurenci paliwowi nie wchodzą mocno na rynek PL</w:t>
      </w:r>
    </w:p>
    <w:p w:rsidR="00F32694" w:rsidP="00621B9E" w:rsidRDefault="00F32694" w14:paraId="40C9E3DB" w14:textId="77777777">
      <w:pPr>
        <w:rPr>
          <w:i/>
          <w:iCs/>
        </w:rPr>
      </w:pPr>
    </w:p>
    <w:p w:rsidR="00F32694" w:rsidP="00F32694" w:rsidRDefault="00F32694" w14:paraId="08804821" w14:textId="4B1A59B8">
      <w:pPr>
        <w:pStyle w:val="Akapitzlist"/>
        <w:numPr>
          <w:ilvl w:val="0"/>
          <w:numId w:val="18"/>
        </w:numPr>
      </w:pPr>
      <w:r w:rsidRPr="00F32694">
        <w:t xml:space="preserve">Czy ORLEN nadal utrzymuje unikalną przewagę konkurencyjną w kontekście przyszłego rozwoju sieci ładowania pod względem oferty </w:t>
      </w:r>
      <w:proofErr w:type="spellStart"/>
      <w:r w:rsidRPr="00F32694">
        <w:t>convenience</w:t>
      </w:r>
      <w:proofErr w:type="spellEnd"/>
      <w:r w:rsidRPr="00F32694">
        <w:t xml:space="preserve"> (</w:t>
      </w:r>
      <w:proofErr w:type="spellStart"/>
      <w:r w:rsidRPr="00F32694">
        <w:t>shop&amp;gastro</w:t>
      </w:r>
      <w:proofErr w:type="spellEnd"/>
      <w:r w:rsidRPr="00F32694">
        <w:t>)?</w:t>
      </w:r>
    </w:p>
    <w:p w:rsidR="00F32694" w:rsidP="00F32694" w:rsidRDefault="00F32694" w14:paraId="4B5A2736" w14:textId="3F3ACDAE">
      <w:pPr>
        <w:ind w:left="360"/>
        <w:rPr>
          <w:i/>
          <w:iCs/>
        </w:rPr>
      </w:pPr>
      <w:r w:rsidRPr="00F32694">
        <w:rPr>
          <w:i/>
          <w:iCs/>
        </w:rPr>
        <w:t xml:space="preserve">TAK, ORLEN ze swoim Stop </w:t>
      </w:r>
      <w:proofErr w:type="spellStart"/>
      <w:r w:rsidRPr="00F32694">
        <w:rPr>
          <w:i/>
          <w:iCs/>
        </w:rPr>
        <w:t>Cafe</w:t>
      </w:r>
      <w:proofErr w:type="spellEnd"/>
      <w:r>
        <w:rPr>
          <w:i/>
          <w:iCs/>
        </w:rPr>
        <w:t xml:space="preserve"> </w:t>
      </w:r>
      <w:r w:rsidRPr="00F32694">
        <w:rPr>
          <w:i/>
          <w:iCs/>
        </w:rPr>
        <w:t xml:space="preserve">i istniejącą infrastrukturą stacyjną nadal utrzymuje przewagę pod kątem synergii ze sprzedaży </w:t>
      </w:r>
      <w:proofErr w:type="spellStart"/>
      <w:r w:rsidRPr="00F32694">
        <w:rPr>
          <w:i/>
          <w:iCs/>
        </w:rPr>
        <w:t>pozapaliwowej</w:t>
      </w:r>
      <w:proofErr w:type="spellEnd"/>
      <w:r w:rsidRPr="00F32694">
        <w:rPr>
          <w:i/>
          <w:iCs/>
        </w:rPr>
        <w:t xml:space="preserve">–a także </w:t>
      </w:r>
      <w:proofErr w:type="spellStart"/>
      <w:r w:rsidRPr="00F32694">
        <w:rPr>
          <w:i/>
          <w:iCs/>
        </w:rPr>
        <w:t>prokliencko</w:t>
      </w:r>
      <w:proofErr w:type="spellEnd"/>
      <w:r>
        <w:rPr>
          <w:i/>
          <w:iCs/>
        </w:rPr>
        <w:t xml:space="preserve"> </w:t>
      </w:r>
      <w:r w:rsidRPr="00F32694">
        <w:rPr>
          <w:i/>
          <w:iCs/>
        </w:rPr>
        <w:t xml:space="preserve">jako sposób spędzenia czasu/przerwy w trakcie ładowania. Nikt z głównych konkurentów </w:t>
      </w:r>
      <w:proofErr w:type="spellStart"/>
      <w:r w:rsidRPr="00F32694">
        <w:rPr>
          <w:i/>
          <w:iCs/>
        </w:rPr>
        <w:t>emobility</w:t>
      </w:r>
      <w:proofErr w:type="spellEnd"/>
      <w:r w:rsidRPr="00F32694">
        <w:rPr>
          <w:i/>
          <w:iCs/>
        </w:rPr>
        <w:t xml:space="preserve"> nie rozwija konceptów </w:t>
      </w:r>
      <w:proofErr w:type="spellStart"/>
      <w:r w:rsidRPr="00F32694">
        <w:rPr>
          <w:i/>
          <w:iCs/>
        </w:rPr>
        <w:t>shop&amp;gastro</w:t>
      </w:r>
      <w:proofErr w:type="spellEnd"/>
      <w:r w:rsidRPr="00F32694">
        <w:rPr>
          <w:i/>
          <w:iCs/>
        </w:rPr>
        <w:t xml:space="preserve">; mają lokalizacje typu </w:t>
      </w:r>
      <w:proofErr w:type="spellStart"/>
      <w:r w:rsidRPr="00F32694">
        <w:rPr>
          <w:i/>
          <w:iCs/>
        </w:rPr>
        <w:t>greenfield</w:t>
      </w:r>
      <w:proofErr w:type="spellEnd"/>
      <w:r w:rsidRPr="00F32694">
        <w:rPr>
          <w:i/>
          <w:iCs/>
        </w:rPr>
        <w:t>, obecność na MOP I kategorii oznacza brak sklepów</w:t>
      </w:r>
    </w:p>
    <w:p w:rsidR="00F32694" w:rsidP="00621B9E" w:rsidRDefault="00F32694" w14:paraId="7C327531" w14:textId="77777777">
      <w:pPr>
        <w:rPr>
          <w:i/>
          <w:iCs/>
        </w:rPr>
      </w:pPr>
    </w:p>
    <w:p w:rsidR="00F32694" w:rsidP="00F32694" w:rsidRDefault="00F32694" w14:paraId="03F32D59" w14:textId="779BD115">
      <w:pPr>
        <w:pStyle w:val="Akapitzlist"/>
        <w:numPr>
          <w:ilvl w:val="0"/>
          <w:numId w:val="18"/>
        </w:numPr>
      </w:pPr>
      <w:r w:rsidRPr="00F32694">
        <w:t xml:space="preserve">Czy od momentu opracowania Strategii, rynek </w:t>
      </w:r>
      <w:proofErr w:type="spellStart"/>
      <w:r w:rsidRPr="00F32694">
        <w:t>elektromobilności</w:t>
      </w:r>
      <w:proofErr w:type="spellEnd"/>
      <w:r w:rsidRPr="00F32694">
        <w:t xml:space="preserve"> w Polsce rozwija się zgodnie z założeniami strategicznymi (liczba zarejestrowanych EV, wolumen energii sprzedanej do EV)</w:t>
      </w:r>
    </w:p>
    <w:p w:rsidR="00F32694" w:rsidP="00F32694" w:rsidRDefault="00F32694" w14:paraId="33D68D9D" w14:textId="5D00FD43">
      <w:pPr>
        <w:ind w:left="360"/>
        <w:rPr>
          <w:i/>
          <w:iCs/>
        </w:rPr>
      </w:pPr>
      <w:r w:rsidRPr="00F32694">
        <w:rPr>
          <w:i/>
          <w:iCs/>
        </w:rPr>
        <w:t>Rynek EV rozwija się nieco lepiej niż zakładaliśmy (prognoza zarejestrowanych EV zakładała 1</w:t>
      </w:r>
      <w:r>
        <w:rPr>
          <w:i/>
          <w:iCs/>
        </w:rPr>
        <w:t>0</w:t>
      </w:r>
      <w:r w:rsidRPr="00F32694">
        <w:rPr>
          <w:i/>
          <w:iCs/>
        </w:rPr>
        <w:t>0</w:t>
      </w:r>
      <w:r>
        <w:rPr>
          <w:i/>
          <w:iCs/>
        </w:rPr>
        <w:t xml:space="preserve"> </w:t>
      </w:r>
      <w:proofErr w:type="spellStart"/>
      <w:r w:rsidRPr="00F32694">
        <w:rPr>
          <w:i/>
          <w:iCs/>
        </w:rPr>
        <w:t>ty</w:t>
      </w:r>
      <w:r>
        <w:rPr>
          <w:i/>
          <w:iCs/>
        </w:rPr>
        <w:t>s</w:t>
      </w:r>
      <w:proofErr w:type="spellEnd"/>
      <w:r w:rsidRPr="00F32694">
        <w:rPr>
          <w:i/>
          <w:iCs/>
        </w:rPr>
        <w:t xml:space="preserve"> w 2025, a wykonanie wyniosło 1</w:t>
      </w:r>
      <w:r>
        <w:rPr>
          <w:i/>
          <w:iCs/>
        </w:rPr>
        <w:t xml:space="preserve">15 </w:t>
      </w:r>
      <w:proofErr w:type="spellStart"/>
      <w:r w:rsidRPr="00F32694">
        <w:rPr>
          <w:i/>
          <w:iCs/>
        </w:rPr>
        <w:t>ty</w:t>
      </w:r>
      <w:r>
        <w:rPr>
          <w:i/>
          <w:iCs/>
        </w:rPr>
        <w:t>s</w:t>
      </w:r>
      <w:proofErr w:type="spellEnd"/>
      <w:r w:rsidRPr="00F32694">
        <w:rPr>
          <w:i/>
          <w:iCs/>
        </w:rPr>
        <w:t xml:space="preserve">); wyniki udziałowe naszej sieci realizowane są z nawiązką (zakładane 5,0% udziału w energii sprzedanej w `25 vs wykonanie </w:t>
      </w:r>
      <w:r>
        <w:rPr>
          <w:i/>
          <w:iCs/>
        </w:rPr>
        <w:t>6</w:t>
      </w:r>
      <w:r w:rsidRPr="00F32694">
        <w:rPr>
          <w:i/>
          <w:iCs/>
        </w:rPr>
        <w:t>,</w:t>
      </w:r>
      <w:r>
        <w:rPr>
          <w:i/>
          <w:iCs/>
        </w:rPr>
        <w:t>5</w:t>
      </w:r>
      <w:r w:rsidRPr="00F32694">
        <w:rPr>
          <w:i/>
          <w:iCs/>
        </w:rPr>
        <w:t>%); huby szybkiego ładowania realizują wysokie wolumeny co potwierdza kierunek</w:t>
      </w:r>
    </w:p>
    <w:p w:rsidR="00F32694" w:rsidP="00F32694" w:rsidRDefault="00F32694" w14:paraId="44C508F2" w14:textId="77777777">
      <w:pPr>
        <w:ind w:left="360"/>
        <w:rPr>
          <w:i/>
          <w:iCs/>
        </w:rPr>
      </w:pPr>
    </w:p>
    <w:p w:rsidR="00F32694" w:rsidP="00F32694" w:rsidRDefault="00F32694" w14:paraId="31A5E8E9" w14:textId="778234A4">
      <w:pPr>
        <w:pStyle w:val="Akapitzlist"/>
        <w:numPr>
          <w:ilvl w:val="0"/>
          <w:numId w:val="18"/>
        </w:numPr>
      </w:pPr>
      <w:r w:rsidRPr="00F32694">
        <w:t>Czy zidentyfikowano rynki, które byłyby atrakcyjne z perspektywy rozwoju infrastruktury ładowania EV</w:t>
      </w:r>
    </w:p>
    <w:p w:rsidR="00D43D54" w:rsidP="00F32694" w:rsidRDefault="00F32694" w14:paraId="6D2F2F3E" w14:textId="5488547D">
      <w:pPr>
        <w:ind w:left="360"/>
        <w:rPr>
          <w:i/>
          <w:iCs/>
        </w:rPr>
      </w:pPr>
      <w:r w:rsidRPr="00F32694">
        <w:rPr>
          <w:i/>
          <w:iCs/>
        </w:rPr>
        <w:t xml:space="preserve">Chcemy się koncentrować na rynkach, na których jesteśmy obecni z paliwami; a spośród nich, atrakcyjne są Niemcy, Austria, Czechy, Słowacja; Litwa i Węgry na tym etapie nie prezentują wystarczającego potencjału; rozwój w Austrii jest zależny od strategicznych decyzji dot. naszej obecności </w:t>
      </w:r>
      <w:r>
        <w:rPr>
          <w:i/>
          <w:iCs/>
        </w:rPr>
        <w:t xml:space="preserve">na rynku </w:t>
      </w:r>
      <w:proofErr w:type="spellStart"/>
      <w:r>
        <w:rPr>
          <w:i/>
          <w:iCs/>
        </w:rPr>
        <w:t>retail</w:t>
      </w:r>
      <w:proofErr w:type="spellEnd"/>
      <w:r>
        <w:rPr>
          <w:i/>
          <w:iCs/>
        </w:rPr>
        <w:t>.</w:t>
      </w:r>
    </w:p>
    <w:p w:rsidR="00F32694" w:rsidP="00F32694" w:rsidRDefault="00F32694" w14:paraId="5A9B314E" w14:textId="77777777">
      <w:pPr>
        <w:ind w:left="360"/>
        <w:rPr>
          <w:i/>
          <w:iCs/>
        </w:rPr>
      </w:pPr>
    </w:p>
    <w:p w:rsidR="00F32694" w:rsidP="00F32694" w:rsidRDefault="00F32694" w14:paraId="5D15CFCE" w14:textId="5C17E3C7">
      <w:pPr>
        <w:pStyle w:val="Akapitzlist"/>
        <w:numPr>
          <w:ilvl w:val="0"/>
          <w:numId w:val="18"/>
        </w:numPr>
      </w:pPr>
      <w:r w:rsidRPr="00F32694">
        <w:t>Czy otoczenie konkurencyjne na zidentyfikowanych rynkach zagranicznych pozostawia miejsce na wzmocnienie obecności gracza, takiego jak ORLEN?</w:t>
      </w:r>
    </w:p>
    <w:p w:rsidR="00F32694" w:rsidP="00F32694" w:rsidRDefault="00F32694" w14:paraId="00C17802" w14:textId="535F7617">
      <w:pPr>
        <w:rPr>
          <w:i/>
          <w:iCs/>
        </w:rPr>
      </w:pPr>
      <w:r w:rsidRPr="00F32694">
        <w:rPr>
          <w:i/>
          <w:iCs/>
        </w:rPr>
        <w:lastRenderedPageBreak/>
        <w:t xml:space="preserve">Niemcy i Austria to rozwinięte rynki </w:t>
      </w:r>
      <w:proofErr w:type="spellStart"/>
      <w:r w:rsidRPr="00F32694">
        <w:rPr>
          <w:i/>
          <w:iCs/>
        </w:rPr>
        <w:t>elektromobilności</w:t>
      </w:r>
      <w:proofErr w:type="spellEnd"/>
      <w:r w:rsidRPr="00F32694">
        <w:rPr>
          <w:i/>
          <w:iCs/>
        </w:rPr>
        <w:t>, na których powinniśmy być obecni, bo jest tam przestrzeń do rozwoju, ale</w:t>
      </w:r>
      <w:r w:rsidR="00BB6947">
        <w:rPr>
          <w:i/>
          <w:iCs/>
        </w:rPr>
        <w:t xml:space="preserve"> </w:t>
      </w:r>
      <w:r w:rsidRPr="00F32694">
        <w:rPr>
          <w:i/>
          <w:iCs/>
        </w:rPr>
        <w:t>nie zbudujemy już pozycji wiodącego gracza (ze względu na skalę i wysoką konkurencyjność rynku –np. w DE popularne są 40punktowe hub</w:t>
      </w:r>
      <w:r w:rsidR="00BB6947">
        <w:rPr>
          <w:i/>
          <w:iCs/>
        </w:rPr>
        <w:t>y</w:t>
      </w:r>
      <w:r w:rsidRPr="00F32694">
        <w:rPr>
          <w:i/>
          <w:iCs/>
        </w:rPr>
        <w:t>; ogromna skala). Czechy i Słowacja to rozwijające się rynki, na których nasze przewagi konkurencyjne są podobne jak w PL, i będziemy w stanie zbudować tam pozycję wiodącego gracz</w:t>
      </w:r>
      <w:r>
        <w:rPr>
          <w:i/>
          <w:iCs/>
        </w:rPr>
        <w:t>a</w:t>
      </w:r>
      <w:r w:rsidR="00BB6947">
        <w:rPr>
          <w:i/>
          <w:iCs/>
        </w:rPr>
        <w:t>.</w:t>
      </w:r>
    </w:p>
    <w:p w:rsidR="00BB6947" w:rsidP="00F32694" w:rsidRDefault="00BB6947" w14:paraId="58956C97" w14:textId="77777777">
      <w:pPr>
        <w:rPr>
          <w:i/>
          <w:iCs/>
        </w:rPr>
      </w:pPr>
    </w:p>
    <w:p w:rsidRPr="00BB6947" w:rsidR="00BB6947" w:rsidP="00BB6947" w:rsidRDefault="00BB6947" w14:paraId="2D7F58FA" w14:textId="488F40DC">
      <w:pPr>
        <w:pStyle w:val="Akapitzlist"/>
        <w:numPr>
          <w:ilvl w:val="0"/>
          <w:numId w:val="18"/>
        </w:numPr>
      </w:pPr>
      <w:r w:rsidRPr="00BB6947">
        <w:t>Jaki jest potencjał finansowy wynikający z rozwoju infrastruktury na rynkach zagranicznych, oraz korespondujące nakłady inwestycyjne</w:t>
      </w:r>
    </w:p>
    <w:p w:rsidRPr="00BB6947" w:rsidR="00BB6947" w:rsidP="00BB6947" w:rsidRDefault="00BB6947" w14:paraId="6D52E224" w14:textId="396DD6D2">
      <w:pPr>
        <w:ind w:left="360"/>
        <w:rPr>
          <w:i/>
          <w:iCs/>
        </w:rPr>
      </w:pPr>
      <w:r w:rsidRPr="00BB6947">
        <w:rPr>
          <w:i/>
          <w:iCs/>
        </w:rPr>
        <w:t>Na podstawie produktów prac Operacjonalizacji –c. 1</w:t>
      </w:r>
      <w:r>
        <w:rPr>
          <w:i/>
          <w:iCs/>
        </w:rPr>
        <w:t>0</w:t>
      </w:r>
      <w:r w:rsidRPr="00BB6947">
        <w:rPr>
          <w:i/>
          <w:iCs/>
        </w:rPr>
        <w:t xml:space="preserve">k punktów ładowania zamiast </w:t>
      </w:r>
      <w:r>
        <w:rPr>
          <w:i/>
          <w:iCs/>
        </w:rPr>
        <w:t>5</w:t>
      </w:r>
      <w:r w:rsidRPr="00BB6947">
        <w:rPr>
          <w:i/>
          <w:iCs/>
        </w:rPr>
        <w:t>k; w ostatnim roku strategii, dodanie zagranicy oznacza ok. +</w:t>
      </w:r>
      <w:r>
        <w:rPr>
          <w:i/>
          <w:iCs/>
        </w:rPr>
        <w:t>3</w:t>
      </w:r>
      <w:r w:rsidRPr="00BB6947">
        <w:rPr>
          <w:i/>
          <w:iCs/>
        </w:rPr>
        <w:t>00mln PLN kontrybucji do EBITDA; ale też wyższe nakłady CAPEX</w:t>
      </w:r>
    </w:p>
    <w:p w:rsidR="009A180E" w:rsidP="00056415" w:rsidRDefault="009A180E" w14:paraId="335D9213" w14:textId="4A31E188">
      <w:pPr>
        <w:rPr>
          <w:rFonts w:ascii="Arial" w:hAnsi="Arial" w:cs="Arial"/>
          <w:i/>
          <w:iCs/>
          <w:smallCaps/>
          <w:color w:val="171717" w:themeColor="background2" w:themeShade="1A"/>
          <w:sz w:val="36"/>
          <w:szCs w:val="36"/>
        </w:rPr>
      </w:pPr>
    </w:p>
    <w:p w:rsidR="00BB6947" w:rsidP="00056415" w:rsidRDefault="00BB6947" w14:paraId="6550A225" w14:textId="4BCE03A4">
      <w:pPr>
        <w:rPr>
          <w:rFonts w:ascii="Arial" w:hAnsi="Arial" w:cs="Arial"/>
          <w:i/>
          <w:iCs/>
          <w:smallCaps/>
          <w:color w:val="171717" w:themeColor="background2" w:themeShade="1A"/>
          <w:sz w:val="36"/>
          <w:szCs w:val="36"/>
        </w:rPr>
      </w:pPr>
      <w:r>
        <w:rPr>
          <w:rFonts w:ascii="Arial" w:hAnsi="Arial" w:cs="Arial"/>
          <w:i/>
          <w:iCs/>
          <w:smallCaps/>
          <w:color w:val="171717" w:themeColor="background2" w:themeShade="1A"/>
          <w:sz w:val="36"/>
          <w:szCs w:val="36"/>
        </w:rPr>
        <w:t>Rekomendacja strategiczna:</w:t>
      </w:r>
    </w:p>
    <w:p w:rsidR="00BB6947" w:rsidP="00BB6947" w:rsidRDefault="00BB6947" w14:paraId="68ECD821" w14:textId="3BFC186A">
      <w:pPr>
        <w:ind w:left="360"/>
        <w:rPr>
          <w:i/>
          <w:iCs/>
        </w:rPr>
      </w:pPr>
      <w:r w:rsidRPr="00BB6947">
        <w:rPr>
          <w:i/>
          <w:iCs/>
        </w:rPr>
        <w:t>Należy uzupełnić Inicjatywę R3 o cele strategiczne wobec rynków zagranicznych</w:t>
      </w:r>
      <w:r>
        <w:rPr>
          <w:i/>
          <w:iCs/>
        </w:rPr>
        <w:t xml:space="preserve">, zbadaj poziomy 3 </w:t>
      </w:r>
      <w:proofErr w:type="spellStart"/>
      <w:r>
        <w:rPr>
          <w:i/>
          <w:iCs/>
        </w:rPr>
        <w:t>tys</w:t>
      </w:r>
      <w:proofErr w:type="spellEnd"/>
      <w:r>
        <w:rPr>
          <w:i/>
          <w:iCs/>
        </w:rPr>
        <w:t xml:space="preserve">, 5 </w:t>
      </w:r>
      <w:proofErr w:type="spellStart"/>
      <w:r>
        <w:rPr>
          <w:i/>
          <w:iCs/>
        </w:rPr>
        <w:t>tys</w:t>
      </w:r>
      <w:proofErr w:type="spellEnd"/>
      <w:r>
        <w:rPr>
          <w:i/>
          <w:iCs/>
        </w:rPr>
        <w:t xml:space="preserve"> i 7 </w:t>
      </w:r>
      <w:proofErr w:type="spellStart"/>
      <w:r>
        <w:rPr>
          <w:i/>
          <w:iCs/>
        </w:rPr>
        <w:t>tys</w:t>
      </w:r>
      <w:proofErr w:type="spellEnd"/>
      <w:r>
        <w:rPr>
          <w:i/>
          <w:iCs/>
        </w:rPr>
        <w:t xml:space="preserve"> punktów EV</w:t>
      </w:r>
    </w:p>
    <w:p w:rsidR="00BB6947" w:rsidP="00BB6947" w:rsidRDefault="00BB6947" w14:paraId="6A7BC6C1" w14:textId="77777777">
      <w:pPr>
        <w:ind w:left="360"/>
        <w:rPr>
          <w:i/>
          <w:iCs/>
        </w:rPr>
      </w:pPr>
      <w:r w:rsidRPr="00BB6947">
        <w:rPr>
          <w:i/>
          <w:iCs/>
        </w:rPr>
        <w:t xml:space="preserve">• Dedykowany projekt zidentyfikował cztery rynki o wysokim potencjale (DE, AT, CZ, SK) </w:t>
      </w:r>
    </w:p>
    <w:p w:rsidR="00BB6947" w:rsidP="00BB6947" w:rsidRDefault="00BB6947" w14:paraId="434E04E9" w14:textId="024559AE">
      <w:pPr>
        <w:ind w:left="360"/>
        <w:rPr>
          <w:i/>
          <w:iCs/>
        </w:rPr>
      </w:pPr>
      <w:r w:rsidRPr="00BB6947">
        <w:rPr>
          <w:i/>
          <w:iCs/>
        </w:rPr>
        <w:t>• Określono</w:t>
      </w:r>
      <w:r>
        <w:rPr>
          <w:i/>
          <w:iCs/>
        </w:rPr>
        <w:t xml:space="preserve"> optymalne</w:t>
      </w:r>
      <w:r w:rsidRPr="00BB6947">
        <w:rPr>
          <w:i/>
          <w:iCs/>
        </w:rPr>
        <w:t xml:space="preserve"> cele dla zagranicy (c. +5k punktów ładowania)</w:t>
      </w:r>
      <w:r>
        <w:rPr>
          <w:i/>
          <w:iCs/>
        </w:rPr>
        <w:t>, na rynkach DE, CZ i SK</w:t>
      </w:r>
    </w:p>
    <w:p w:rsidR="004240B2" w:rsidP="004240B2" w:rsidRDefault="00BB6947" w14:paraId="6E746A99" w14:textId="77777777">
      <w:pPr>
        <w:ind w:left="360"/>
        <w:rPr>
          <w:i/>
          <w:iCs/>
        </w:rPr>
      </w:pPr>
      <w:r w:rsidRPr="00BB6947">
        <w:rPr>
          <w:i/>
          <w:iCs/>
        </w:rPr>
        <w:t>• Wraz z celami dla zagranicy, zweryfikowano efekt finansowy na EBITDA</w:t>
      </w:r>
      <w:r>
        <w:rPr>
          <w:i/>
          <w:iCs/>
        </w:rPr>
        <w:t xml:space="preserve"> (+300 mln PLN)</w:t>
      </w:r>
      <w:r w:rsidRPr="00BB6947">
        <w:rPr>
          <w:i/>
          <w:iCs/>
        </w:rPr>
        <w:t xml:space="preserve"> i CAPE</w:t>
      </w:r>
      <w:r>
        <w:rPr>
          <w:i/>
          <w:iCs/>
        </w:rPr>
        <w:t>X (2 MLD PLN</w:t>
      </w:r>
      <w:r w:rsidR="004240B2">
        <w:rPr>
          <w:i/>
          <w:iCs/>
        </w:rPr>
        <w:t>)</w:t>
      </w:r>
    </w:p>
    <w:p w:rsidR="004240B2" w:rsidP="004240B2" w:rsidRDefault="004240B2" w14:paraId="6DD3C921" w14:textId="52ADB6A6">
      <w:pPr>
        <w:ind w:left="360"/>
        <w:rPr>
          <w:i/>
          <w:iCs/>
        </w:rPr>
      </w:pPr>
      <w:r>
        <w:rPr>
          <w:i/>
          <w:iCs/>
        </w:rPr>
        <w:t>Osi</w:t>
      </w:r>
      <w:r w:rsidRPr="004240B2">
        <w:rPr>
          <w:i/>
          <w:iCs/>
        </w:rPr>
        <w:t>ągnięcie w 2035 roku udziału w dostarczonej energii do samochodów elektrycznych na publicznym rynku ładowania, poprzez określoną sieć punktów ładowania: Polska~3</w:t>
      </w:r>
      <w:r>
        <w:rPr>
          <w:i/>
          <w:iCs/>
        </w:rPr>
        <w:t>5</w:t>
      </w:r>
      <w:r w:rsidRPr="004240B2">
        <w:rPr>
          <w:i/>
          <w:iCs/>
        </w:rPr>
        <w:t xml:space="preserve">% udziału, </w:t>
      </w:r>
      <w:r>
        <w:rPr>
          <w:i/>
          <w:iCs/>
        </w:rPr>
        <w:t>7</w:t>
      </w:r>
      <w:r w:rsidRPr="004240B2">
        <w:rPr>
          <w:i/>
          <w:iCs/>
        </w:rPr>
        <w:t xml:space="preserve"> tys. punktów ładowania (CP), Niemcy ~5% udziału 2 tys. CP,  Czechy</w:t>
      </w:r>
      <w:r>
        <w:rPr>
          <w:i/>
          <w:iCs/>
        </w:rPr>
        <w:t xml:space="preserve"> 2 </w:t>
      </w:r>
      <w:proofErr w:type="spellStart"/>
      <w:r>
        <w:rPr>
          <w:i/>
          <w:iCs/>
        </w:rPr>
        <w:t>tys</w:t>
      </w:r>
      <w:proofErr w:type="spellEnd"/>
      <w:r w:rsidRPr="004240B2">
        <w:rPr>
          <w:i/>
          <w:iCs/>
        </w:rPr>
        <w:t xml:space="preserve"> ~24% udziału,  Słowacja </w:t>
      </w:r>
      <w:r>
        <w:rPr>
          <w:i/>
          <w:iCs/>
        </w:rPr>
        <w:t>20</w:t>
      </w:r>
      <w:r w:rsidRPr="004240B2">
        <w:rPr>
          <w:i/>
          <w:iCs/>
        </w:rPr>
        <w:t xml:space="preserve">% udziału, </w:t>
      </w:r>
      <w:r>
        <w:rPr>
          <w:i/>
          <w:iCs/>
        </w:rPr>
        <w:t xml:space="preserve">1 </w:t>
      </w:r>
      <w:proofErr w:type="spellStart"/>
      <w:r>
        <w:rPr>
          <w:i/>
          <w:iCs/>
        </w:rPr>
        <w:t>tys</w:t>
      </w:r>
      <w:proofErr w:type="spellEnd"/>
      <w:r w:rsidRPr="004240B2">
        <w:rPr>
          <w:i/>
          <w:iCs/>
        </w:rPr>
        <w:t xml:space="preserve"> CP</w:t>
      </w:r>
    </w:p>
    <w:p w:rsidR="004240B2" w:rsidP="004240B2" w:rsidRDefault="004240B2" w14:paraId="05D9ECF8" w14:textId="77777777">
      <w:pPr>
        <w:ind w:left="360"/>
        <w:rPr>
          <w:i/>
          <w:iCs/>
        </w:rPr>
      </w:pPr>
    </w:p>
    <w:p w:rsidR="004240B2" w:rsidP="004240B2" w:rsidRDefault="004240B2" w14:paraId="0EFD127E" w14:textId="121E093F">
      <w:pPr>
        <w:ind w:left="360"/>
        <w:rPr>
          <w:b/>
          <w:bCs/>
          <w:i/>
          <w:iCs/>
        </w:rPr>
      </w:pPr>
      <w:r w:rsidRPr="004240B2">
        <w:rPr>
          <w:b/>
          <w:bCs/>
          <w:i/>
          <w:iCs/>
        </w:rPr>
        <w:t>Zaktualizowane KPI Strategiczne</w:t>
      </w:r>
      <w:r>
        <w:rPr>
          <w:b/>
          <w:bCs/>
          <w:i/>
          <w:iCs/>
        </w:rPr>
        <w:t>:</w:t>
      </w:r>
    </w:p>
    <w:p w:rsidR="004240B2" w:rsidP="004240B2" w:rsidRDefault="004240B2" w14:paraId="5AAC0FF4" w14:textId="2917665C">
      <w:pPr>
        <w:ind w:left="360"/>
        <w:rPr>
          <w:b/>
          <w:bCs/>
          <w:i/>
          <w:iCs/>
        </w:rPr>
      </w:pPr>
      <w:r w:rsidRPr="004240B2">
        <w:rPr>
          <w:b/>
          <w:bCs/>
          <w:i/>
          <w:iCs/>
        </w:rPr>
        <w:t>Liczba punktów szybkiego ładowania w Grupie (#</w:t>
      </w:r>
      <w:r>
        <w:rPr>
          <w:b/>
          <w:bCs/>
          <w:i/>
          <w:iCs/>
        </w:rPr>
        <w:t>)</w:t>
      </w:r>
    </w:p>
    <w:p w:rsidR="004240B2" w:rsidP="004240B2" w:rsidRDefault="004240B2" w14:paraId="0A10BB1F" w14:textId="1DF579FB">
      <w:pPr>
        <w:pStyle w:val="Akapitzlist"/>
        <w:numPr>
          <w:ilvl w:val="0"/>
          <w:numId w:val="21"/>
        </w:numPr>
        <w:rPr>
          <w:i/>
          <w:iCs/>
        </w:rPr>
      </w:pPr>
      <w:r w:rsidRPr="004240B2">
        <w:rPr>
          <w:i/>
          <w:iCs/>
        </w:rPr>
        <w:t>2035 Rekomendacja dot. rewizji celu 1</w:t>
      </w:r>
      <w:r>
        <w:rPr>
          <w:i/>
          <w:iCs/>
        </w:rPr>
        <w:t>2.000</w:t>
      </w:r>
    </w:p>
    <w:p w:rsidR="004240B2" w:rsidP="004240B2" w:rsidRDefault="004240B2" w14:paraId="7ACB9CA9" w14:textId="5C0BE316">
      <w:pPr>
        <w:pStyle w:val="Akapitzlist"/>
        <w:numPr>
          <w:ilvl w:val="0"/>
          <w:numId w:val="21"/>
        </w:numPr>
        <w:rPr>
          <w:i/>
          <w:iCs/>
        </w:rPr>
      </w:pPr>
      <w:r w:rsidRPr="004240B2">
        <w:rPr>
          <w:i/>
          <w:iCs/>
        </w:rPr>
        <w:t>CAPEX 2026-2035</w:t>
      </w:r>
      <w:r>
        <w:rPr>
          <w:i/>
          <w:iCs/>
        </w:rPr>
        <w:t xml:space="preserve"> (4.5 mld PLN: 2.5 mld Polska, 2 mld zagranica)</w:t>
      </w:r>
    </w:p>
    <w:p w:rsidRPr="004240B2" w:rsidR="004240B2" w:rsidP="004240B2" w:rsidRDefault="004240B2" w14:paraId="33F04051" w14:textId="35AB3604">
      <w:pPr>
        <w:pStyle w:val="Akapitzlist"/>
        <w:numPr>
          <w:ilvl w:val="0"/>
          <w:numId w:val="21"/>
        </w:numPr>
        <w:rPr>
          <w:i/>
          <w:iCs/>
        </w:rPr>
      </w:pPr>
      <w:r>
        <w:rPr>
          <w:i/>
          <w:iCs/>
        </w:rPr>
        <w:t>E</w:t>
      </w:r>
      <w:r w:rsidRPr="004240B2">
        <w:rPr>
          <w:i/>
          <w:iCs/>
        </w:rPr>
        <w:t>BITDA 2026-2035</w:t>
      </w:r>
      <w:r>
        <w:rPr>
          <w:i/>
          <w:iCs/>
        </w:rPr>
        <w:t xml:space="preserve"> (3.2 mld PLN)</w:t>
      </w:r>
    </w:p>
    <w:p w:rsidR="004240B2" w:rsidP="004240B2" w:rsidRDefault="004240B2" w14:paraId="73ABF8F7" w14:textId="5C3A4E11">
      <w:pPr>
        <w:ind w:left="360"/>
        <w:rPr>
          <w:i/>
          <w:iCs/>
        </w:rPr>
      </w:pPr>
      <w:r w:rsidRPr="004240B2">
        <w:rPr>
          <w:i/>
          <w:iCs/>
        </w:rPr>
        <w:t>Uzasadnienie rewizji / zmiany / utrzymania celu</w:t>
      </w:r>
    </w:p>
    <w:p w:rsidR="004240B2" w:rsidP="004240B2" w:rsidRDefault="004240B2" w14:paraId="0E8CD04C" w14:textId="4AA5AC5C">
      <w:pPr>
        <w:ind w:left="360"/>
        <w:rPr>
          <w:i/>
          <w:iCs/>
        </w:rPr>
      </w:pPr>
      <w:r w:rsidRPr="004240B2">
        <w:rPr>
          <w:i/>
          <w:iCs/>
        </w:rPr>
        <w:t>o Uzupełnienie Strategii dla Spółek Grupy Kapitałowej (</w:t>
      </w:r>
      <w:r>
        <w:rPr>
          <w:i/>
          <w:iCs/>
        </w:rPr>
        <w:t>Niemcy, Czechy i Słowacja</w:t>
      </w:r>
      <w:r w:rsidRPr="004240B2">
        <w:rPr>
          <w:i/>
          <w:iCs/>
        </w:rPr>
        <w:t xml:space="preserve">)  –korekta strategii wynikająca ze zbyt optymistycznych założeń związanych z ceną </w:t>
      </w:r>
      <w:r>
        <w:rPr>
          <w:i/>
          <w:iCs/>
        </w:rPr>
        <w:t>energii elektrycznej</w:t>
      </w:r>
      <w:r w:rsidRPr="004240B2">
        <w:rPr>
          <w:i/>
          <w:iCs/>
        </w:rPr>
        <w:t>, a także rozszerzenie horyzontu czasowego do roku 2035 o Rewizja założeń i rozszerzenie horyzontu czasowego dla Czech i Słowacji</w:t>
      </w:r>
    </w:p>
    <w:p w:rsidR="004240B2" w:rsidP="004240B2" w:rsidRDefault="004240B2" w14:paraId="26B5CE25" w14:textId="77777777">
      <w:pPr>
        <w:ind w:left="360"/>
        <w:rPr>
          <w:i/>
          <w:iCs/>
        </w:rPr>
      </w:pPr>
    </w:p>
    <w:p w:rsidR="004240B2" w:rsidP="004240B2" w:rsidRDefault="004240B2" w14:paraId="790C882F" w14:textId="5C058DC7">
      <w:pPr>
        <w:ind w:left="360"/>
        <w:rPr>
          <w:i/>
          <w:iCs/>
        </w:rPr>
      </w:pPr>
      <w:r w:rsidRPr="004240B2">
        <w:rPr>
          <w:i/>
          <w:iCs/>
        </w:rPr>
        <w:t>Kluczowe czynniki sukcesu</w:t>
      </w:r>
    </w:p>
    <w:p w:rsidR="004240B2" w:rsidP="004240B2" w:rsidRDefault="004240B2" w14:paraId="1FD28767" w14:textId="23BCBD2D">
      <w:pPr>
        <w:ind w:left="360"/>
        <w:rPr>
          <w:i/>
          <w:iCs/>
        </w:rPr>
      </w:pPr>
      <w:r w:rsidRPr="004240B2">
        <w:rPr>
          <w:i/>
          <w:iCs/>
        </w:rPr>
        <w:lastRenderedPageBreak/>
        <w:t xml:space="preserve">Wielostanowiskowe huby ładowania o dużej mocy o Sieć stacji ładowania realizowana głównie na własnych stacjach paliw, wyposażonych w zaplecze sanitarno-gastronomiczne. o Własny system </w:t>
      </w:r>
      <w:proofErr w:type="spellStart"/>
      <w:r w:rsidRPr="004240B2">
        <w:rPr>
          <w:i/>
          <w:iCs/>
        </w:rPr>
        <w:t>backend</w:t>
      </w:r>
      <w:proofErr w:type="spellEnd"/>
      <w:r w:rsidRPr="004240B2">
        <w:rPr>
          <w:i/>
          <w:iCs/>
        </w:rPr>
        <w:t xml:space="preserve"> o Pozytywny wpływ wolumenu osiąganego na stacjach ładowania, na realizację celu NCW przez Koncern</w:t>
      </w:r>
    </w:p>
    <w:p w:rsidR="004240B2" w:rsidP="004240B2" w:rsidRDefault="004240B2" w14:paraId="24640E00" w14:textId="77777777">
      <w:pPr>
        <w:ind w:left="360"/>
        <w:rPr>
          <w:i/>
          <w:iCs/>
        </w:rPr>
      </w:pPr>
    </w:p>
    <w:p w:rsidR="004240B2" w:rsidP="004240B2" w:rsidRDefault="004240B2" w14:paraId="6902E947" w14:textId="77777777">
      <w:pPr>
        <w:ind w:left="360"/>
        <w:rPr>
          <w:i/>
          <w:iCs/>
        </w:rPr>
      </w:pPr>
      <w:r>
        <w:rPr>
          <w:i/>
          <w:iCs/>
        </w:rPr>
        <w:t>Ryzyka</w:t>
      </w:r>
    </w:p>
    <w:p w:rsidR="004240B2" w:rsidP="004240B2" w:rsidRDefault="004240B2" w14:paraId="62D0CCC2" w14:textId="77777777">
      <w:pPr>
        <w:ind w:left="360"/>
        <w:rPr>
          <w:i/>
          <w:iCs/>
        </w:rPr>
      </w:pPr>
      <w:r w:rsidRPr="004240B2">
        <w:rPr>
          <w:i/>
          <w:iCs/>
        </w:rPr>
        <w:t xml:space="preserve">Wydłużenie realizacji przyłączy energetycznych </w:t>
      </w:r>
    </w:p>
    <w:p w:rsidR="004240B2" w:rsidP="004240B2" w:rsidRDefault="004240B2" w14:paraId="2679F3F9" w14:textId="77777777">
      <w:pPr>
        <w:ind w:left="360"/>
        <w:rPr>
          <w:i/>
          <w:iCs/>
        </w:rPr>
      </w:pPr>
      <w:r w:rsidRPr="004240B2">
        <w:rPr>
          <w:i/>
          <w:iCs/>
        </w:rPr>
        <w:t xml:space="preserve">o Niższa niż zakładana dynamika rozwoju rynku EV </w:t>
      </w:r>
    </w:p>
    <w:p w:rsidRPr="004240B2" w:rsidR="004240B2" w:rsidP="004240B2" w:rsidRDefault="004240B2" w14:paraId="38FE87C5" w14:textId="7F4C2024">
      <w:pPr>
        <w:ind w:left="360"/>
        <w:rPr>
          <w:i/>
          <w:iCs/>
        </w:rPr>
      </w:pPr>
      <w:r w:rsidRPr="004240B2">
        <w:rPr>
          <w:i/>
          <w:iCs/>
        </w:rPr>
        <w:t>o Niższa niż spodziewana utylizacja o Wzrost kosztów energii</w:t>
      </w:r>
    </w:p>
    <w:p w:rsidRPr="00F95BD8" w:rsidR="00BB6947" w:rsidP="00056415" w:rsidRDefault="00BB6947" w14:paraId="2470B607" w14:textId="77777777">
      <w:pPr>
        <w:rPr>
          <w:rFonts w:ascii="Arial" w:hAnsi="Arial" w:cs="Arial"/>
          <w:i/>
          <w:iCs/>
          <w:smallCaps/>
          <w:color w:val="171717" w:themeColor="background2" w:themeShade="1A"/>
          <w:sz w:val="36"/>
          <w:szCs w:val="36"/>
        </w:rPr>
      </w:pPr>
    </w:p>
    <w:p w:rsidR="0008029C" w:rsidRDefault="004240B2" w14:paraId="029F325B" w14:textId="56C1AB51">
      <w:r>
        <w:t>Narzędzia realizacji:</w:t>
      </w:r>
    </w:p>
    <w:p w:rsidR="004240B2" w:rsidP="004240B2" w:rsidRDefault="004240B2" w14:paraId="5AB8E3D3" w14:textId="6803F334">
      <w:pPr>
        <w:pStyle w:val="Akapitzlist"/>
        <w:numPr>
          <w:ilvl w:val="0"/>
          <w:numId w:val="22"/>
        </w:numPr>
      </w:pPr>
      <w:r w:rsidRPr="004240B2">
        <w:t>E-</w:t>
      </w:r>
      <w:proofErr w:type="spellStart"/>
      <w:r w:rsidRPr="004240B2">
        <w:t>mobility</w:t>
      </w:r>
      <w:proofErr w:type="spellEnd"/>
      <w:r w:rsidRPr="004240B2">
        <w:t xml:space="preserve">-lokalizacje </w:t>
      </w:r>
      <w:r>
        <w:t>ORLEN – projekty rozwojowe</w:t>
      </w:r>
    </w:p>
    <w:p w:rsidRPr="00F95BD8" w:rsidR="004240B2" w:rsidP="004240B2" w:rsidRDefault="004240B2" w14:paraId="4BF72E4C" w14:textId="19C1CEA1">
      <w:pPr>
        <w:pStyle w:val="Akapitzlist"/>
        <w:numPr>
          <w:ilvl w:val="0"/>
          <w:numId w:val="22"/>
        </w:numPr>
      </w:pPr>
      <w:r>
        <w:t>M&amp;A za granicą</w:t>
      </w:r>
    </w:p>
    <w:sectPr w:rsidRPr="00F95BD8" w:rsidR="004240B2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F107B" w:rsidP="00D43D54" w:rsidRDefault="00BF107B" w14:paraId="10C6CB03" w14:textId="77777777">
      <w:pPr>
        <w:spacing w:after="0" w:line="240" w:lineRule="auto"/>
      </w:pPr>
      <w:r>
        <w:separator/>
      </w:r>
    </w:p>
  </w:endnote>
  <w:endnote w:type="continuationSeparator" w:id="0">
    <w:p w:rsidR="00BF107B" w:rsidP="00D43D54" w:rsidRDefault="00BF107B" w14:paraId="47AFBB4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F107B" w:rsidP="00D43D54" w:rsidRDefault="00BF107B" w14:paraId="78841919" w14:textId="77777777">
      <w:pPr>
        <w:spacing w:after="0" w:line="240" w:lineRule="auto"/>
      </w:pPr>
      <w:r>
        <w:separator/>
      </w:r>
    </w:p>
  </w:footnote>
  <w:footnote w:type="continuationSeparator" w:id="0">
    <w:p w:rsidR="00BF107B" w:rsidP="00D43D54" w:rsidRDefault="00BF107B" w14:paraId="35BA340C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551F"/>
    <w:multiLevelType w:val="hybridMultilevel"/>
    <w:tmpl w:val="72A80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65509"/>
    <w:multiLevelType w:val="multilevel"/>
    <w:tmpl w:val="0BB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8EE3077"/>
    <w:multiLevelType w:val="hybridMultilevel"/>
    <w:tmpl w:val="F60A819E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0EC96CD1"/>
    <w:multiLevelType w:val="multilevel"/>
    <w:tmpl w:val="4C942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F637F02"/>
    <w:multiLevelType w:val="hybridMultilevel"/>
    <w:tmpl w:val="DD5821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90638"/>
    <w:multiLevelType w:val="multilevel"/>
    <w:tmpl w:val="94B8D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4B499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7A0540"/>
    <w:multiLevelType w:val="hybridMultilevel"/>
    <w:tmpl w:val="0FC41716"/>
    <w:lvl w:ilvl="0" w:tplc="0415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3E5A4DB1"/>
    <w:multiLevelType w:val="hybridMultilevel"/>
    <w:tmpl w:val="A20AD5A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C9F280D"/>
    <w:multiLevelType w:val="multilevel"/>
    <w:tmpl w:val="5088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566F196A"/>
    <w:multiLevelType w:val="hybridMultilevel"/>
    <w:tmpl w:val="6F0801D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B110C"/>
    <w:multiLevelType w:val="hybridMultilevel"/>
    <w:tmpl w:val="4642DF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90118"/>
    <w:multiLevelType w:val="hybridMultilevel"/>
    <w:tmpl w:val="DD5821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57874"/>
    <w:multiLevelType w:val="hybridMultilevel"/>
    <w:tmpl w:val="9CEA66E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0393657"/>
    <w:multiLevelType w:val="multilevel"/>
    <w:tmpl w:val="F148D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606131F9"/>
    <w:multiLevelType w:val="hybridMultilevel"/>
    <w:tmpl w:val="AE9E89A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610A75BB"/>
    <w:multiLevelType w:val="multilevel"/>
    <w:tmpl w:val="953A6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63087C76"/>
    <w:multiLevelType w:val="multilevel"/>
    <w:tmpl w:val="1E4ED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66481B6C"/>
    <w:multiLevelType w:val="multilevel"/>
    <w:tmpl w:val="618CA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6B5B435A"/>
    <w:multiLevelType w:val="hybridMultilevel"/>
    <w:tmpl w:val="AAAC22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C234D8"/>
    <w:multiLevelType w:val="multilevel"/>
    <w:tmpl w:val="F4A6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485512512">
    <w:abstractNumId w:val="0"/>
  </w:num>
  <w:num w:numId="2" w16cid:durableId="74132433">
    <w:abstractNumId w:val="19"/>
  </w:num>
  <w:num w:numId="3" w16cid:durableId="1724599701">
    <w:abstractNumId w:val="6"/>
  </w:num>
  <w:num w:numId="4" w16cid:durableId="596989438">
    <w:abstractNumId w:val="9"/>
  </w:num>
  <w:num w:numId="5" w16cid:durableId="972976819">
    <w:abstractNumId w:val="16"/>
  </w:num>
  <w:num w:numId="6" w16cid:durableId="148910425">
    <w:abstractNumId w:val="1"/>
  </w:num>
  <w:num w:numId="7" w16cid:durableId="1535653307">
    <w:abstractNumId w:val="18"/>
  </w:num>
  <w:num w:numId="8" w16cid:durableId="631400897">
    <w:abstractNumId w:val="15"/>
  </w:num>
  <w:num w:numId="9" w16cid:durableId="1951273586">
    <w:abstractNumId w:val="3"/>
  </w:num>
  <w:num w:numId="10" w16cid:durableId="827207781">
    <w:abstractNumId w:val="17"/>
  </w:num>
  <w:num w:numId="11" w16cid:durableId="967013409">
    <w:abstractNumId w:val="14"/>
  </w:num>
  <w:num w:numId="12" w16cid:durableId="938870884">
    <w:abstractNumId w:val="20"/>
  </w:num>
  <w:num w:numId="13" w16cid:durableId="1325815633">
    <w:abstractNumId w:val="4"/>
  </w:num>
  <w:num w:numId="14" w16cid:durableId="698626917">
    <w:abstractNumId w:val="12"/>
  </w:num>
  <w:num w:numId="15" w16cid:durableId="673533759">
    <w:abstractNumId w:val="5"/>
  </w:num>
  <w:num w:numId="16" w16cid:durableId="1810592616">
    <w:abstractNumId w:val="5"/>
    <w:lvlOverride w:ilvl="1">
      <w:lvl w:ilvl="1">
        <w:numFmt w:val="decimal"/>
        <w:lvlText w:val="%2."/>
        <w:lvlJc w:val="left"/>
      </w:lvl>
    </w:lvlOverride>
  </w:num>
  <w:num w:numId="17" w16cid:durableId="357589360">
    <w:abstractNumId w:val="13"/>
  </w:num>
  <w:num w:numId="18" w16cid:durableId="1064337229">
    <w:abstractNumId w:val="11"/>
  </w:num>
  <w:num w:numId="19" w16cid:durableId="293872735">
    <w:abstractNumId w:val="2"/>
  </w:num>
  <w:num w:numId="20" w16cid:durableId="1294217283">
    <w:abstractNumId w:val="7"/>
  </w:num>
  <w:num w:numId="21" w16cid:durableId="1044870266">
    <w:abstractNumId w:val="10"/>
  </w:num>
  <w:num w:numId="22" w16cid:durableId="18858221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415"/>
    <w:rsid w:val="00056415"/>
    <w:rsid w:val="0008029C"/>
    <w:rsid w:val="00095CD1"/>
    <w:rsid w:val="000B2B94"/>
    <w:rsid w:val="000B4190"/>
    <w:rsid w:val="000F4D7F"/>
    <w:rsid w:val="00122E17"/>
    <w:rsid w:val="00183279"/>
    <w:rsid w:val="00230E61"/>
    <w:rsid w:val="002C7CD8"/>
    <w:rsid w:val="003C2629"/>
    <w:rsid w:val="004240B2"/>
    <w:rsid w:val="004271AB"/>
    <w:rsid w:val="00445D8C"/>
    <w:rsid w:val="00456F38"/>
    <w:rsid w:val="00462A4C"/>
    <w:rsid w:val="00494B39"/>
    <w:rsid w:val="004E1CF0"/>
    <w:rsid w:val="004F4B6F"/>
    <w:rsid w:val="00546516"/>
    <w:rsid w:val="00594DD1"/>
    <w:rsid w:val="005B2676"/>
    <w:rsid w:val="005C0E39"/>
    <w:rsid w:val="00621B9E"/>
    <w:rsid w:val="007D6B65"/>
    <w:rsid w:val="00856555"/>
    <w:rsid w:val="009A180E"/>
    <w:rsid w:val="009B3423"/>
    <w:rsid w:val="00B061F2"/>
    <w:rsid w:val="00B426B3"/>
    <w:rsid w:val="00B875E0"/>
    <w:rsid w:val="00BB6947"/>
    <w:rsid w:val="00BC1641"/>
    <w:rsid w:val="00BF107B"/>
    <w:rsid w:val="00BF3803"/>
    <w:rsid w:val="00C8007D"/>
    <w:rsid w:val="00CB4F0E"/>
    <w:rsid w:val="00CC2343"/>
    <w:rsid w:val="00D43D54"/>
    <w:rsid w:val="00DA6787"/>
    <w:rsid w:val="00DC08A4"/>
    <w:rsid w:val="00DE5292"/>
    <w:rsid w:val="00E52997"/>
    <w:rsid w:val="00E836A5"/>
    <w:rsid w:val="00E86063"/>
    <w:rsid w:val="00ED0A93"/>
    <w:rsid w:val="00EF2F4A"/>
    <w:rsid w:val="00F32694"/>
    <w:rsid w:val="00F95BD8"/>
    <w:rsid w:val="00FA0477"/>
    <w:rsid w:val="03B6CA9A"/>
    <w:rsid w:val="04ED12D9"/>
    <w:rsid w:val="070C0F4D"/>
    <w:rsid w:val="0B35239C"/>
    <w:rsid w:val="0B35239C"/>
    <w:rsid w:val="0E52C55A"/>
    <w:rsid w:val="0FFA3208"/>
    <w:rsid w:val="104215FF"/>
    <w:rsid w:val="11C0D377"/>
    <w:rsid w:val="1589D8DC"/>
    <w:rsid w:val="180F503E"/>
    <w:rsid w:val="1A64064D"/>
    <w:rsid w:val="1B270495"/>
    <w:rsid w:val="1C67EDE0"/>
    <w:rsid w:val="1E2087D2"/>
    <w:rsid w:val="20160485"/>
    <w:rsid w:val="21158192"/>
    <w:rsid w:val="254FD830"/>
    <w:rsid w:val="260C4BB0"/>
    <w:rsid w:val="27DB0263"/>
    <w:rsid w:val="292F98FB"/>
    <w:rsid w:val="2BBC13E0"/>
    <w:rsid w:val="2DFF5F64"/>
    <w:rsid w:val="2E01FFAC"/>
    <w:rsid w:val="2EE8F48C"/>
    <w:rsid w:val="35BD497F"/>
    <w:rsid w:val="36895226"/>
    <w:rsid w:val="3BED96CD"/>
    <w:rsid w:val="3D8AAEF3"/>
    <w:rsid w:val="3D9B10AB"/>
    <w:rsid w:val="43DCC55C"/>
    <w:rsid w:val="4640066A"/>
    <w:rsid w:val="47D4578D"/>
    <w:rsid w:val="4CF78B49"/>
    <w:rsid w:val="500CFC6A"/>
    <w:rsid w:val="500CFC6A"/>
    <w:rsid w:val="50D0578E"/>
    <w:rsid w:val="510BD289"/>
    <w:rsid w:val="510BD289"/>
    <w:rsid w:val="5287C946"/>
    <w:rsid w:val="5774E161"/>
    <w:rsid w:val="58648CFF"/>
    <w:rsid w:val="591DE71C"/>
    <w:rsid w:val="5AABFC4F"/>
    <w:rsid w:val="5AABFC4F"/>
    <w:rsid w:val="5BE32A1F"/>
    <w:rsid w:val="5C0D9822"/>
    <w:rsid w:val="5C861D62"/>
    <w:rsid w:val="5F083973"/>
    <w:rsid w:val="5F083973"/>
    <w:rsid w:val="60BAFFF7"/>
    <w:rsid w:val="6136D6B2"/>
    <w:rsid w:val="61667CF1"/>
    <w:rsid w:val="64FC1881"/>
    <w:rsid w:val="64FC1881"/>
    <w:rsid w:val="6746A540"/>
    <w:rsid w:val="685EDB42"/>
    <w:rsid w:val="723408AE"/>
    <w:rsid w:val="766305F1"/>
    <w:rsid w:val="7906136D"/>
    <w:rsid w:val="7C68AD2E"/>
    <w:rsid w:val="7D0A03ED"/>
    <w:rsid w:val="7E6CA9FF"/>
    <w:rsid w:val="7EA3B3F2"/>
    <w:rsid w:val="7EA3B3F2"/>
    <w:rsid w:val="7F75C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7AB12"/>
  <w15:chartTrackingRefBased/>
  <w15:docId w15:val="{F94719E4-7E35-42D9-BB71-E4B58937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056415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05641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5641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641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6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641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64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64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64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64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056415"/>
    <w:rPr>
      <w:rFonts w:asciiTheme="majorHAnsi" w:hAnsiTheme="majorHAnsi" w:eastAsiaTheme="majorEastAsia" w:cstheme="majorBidi"/>
      <w:color w:val="2E74B5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rsid w:val="00056415"/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056415"/>
    <w:rPr>
      <w:rFonts w:eastAsiaTheme="majorEastAsia" w:cstheme="majorBidi"/>
      <w:color w:val="2E74B5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056415"/>
    <w:rPr>
      <w:rFonts w:eastAsiaTheme="majorEastAsia" w:cstheme="majorBidi"/>
      <w:i/>
      <w:iCs/>
      <w:color w:val="2E74B5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056415"/>
    <w:rPr>
      <w:rFonts w:eastAsiaTheme="majorEastAsia" w:cstheme="majorBidi"/>
      <w:color w:val="2E74B5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056415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056415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056415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0564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6415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056415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64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056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6415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0564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64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6415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6415"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056415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6415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05641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F95BD8"/>
    <w:pPr>
      <w:spacing w:before="240" w:after="0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DE5292"/>
    <w:pPr>
      <w:tabs>
        <w:tab w:val="left" w:pos="720"/>
        <w:tab w:val="right" w:leader="dot" w:pos="9062"/>
      </w:tabs>
      <w:spacing w:after="100"/>
      <w:ind w:left="567" w:hanging="567"/>
    </w:pPr>
    <w:rPr>
      <w:rFonts w:ascii="Arial" w:hAnsi="Arial" w:cs="Arial"/>
      <w:noProof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F95BD8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3D54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D43D5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3D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06C41978F31C409F4A7F68FF64A6EE" ma:contentTypeVersion="7" ma:contentTypeDescription="Utwórz nowy dokument." ma:contentTypeScope="" ma:versionID="2c0f2afb7a9921c4ac3600102ef91cb3">
  <xsd:schema xmlns:xsd="http://www.w3.org/2001/XMLSchema" xmlns:xs="http://www.w3.org/2001/XMLSchema" xmlns:p="http://schemas.microsoft.com/office/2006/metadata/properties" xmlns:ns2="09e3e61c-d96f-4882-8671-14c5d60552b7" targetNamespace="http://schemas.microsoft.com/office/2006/metadata/properties" ma:root="true" ma:fieldsID="e2231dbe1f10b3285ae6a87dfbdd72fb" ns2:_="">
    <xsd:import namespace="09e3e61c-d96f-4882-8671-14c5d60552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3e61c-d96f-4882-8671-14c5d6055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719BCE8-0BD4-46D0-943B-57078B96A0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E02624-5085-46A2-BB4F-F985988CCF1D}"/>
</file>

<file path=customXml/itemProps3.xml><?xml version="1.0" encoding="utf-8"?>
<ds:datastoreItem xmlns:ds="http://schemas.openxmlformats.org/officeDocument/2006/customXml" ds:itemID="{DAEF605A-0A04-4A54-9074-4726E9277A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C58060-30EA-416C-B492-38198752360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Sitko Jacek (ORL)</dc:creator>
  <cp:keywords/>
  <dc:description/>
  <cp:lastModifiedBy>Plewa Karol (ORL)</cp:lastModifiedBy>
  <cp:revision>14</cp:revision>
  <dcterms:created xsi:type="dcterms:W3CDTF">2025-11-17T11:52:00Z</dcterms:created>
  <dcterms:modified xsi:type="dcterms:W3CDTF">2026-07-21T08:50:59Z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2025-10-29T10:34:26Z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a82c2c64-55be-4575-958a-ed30211c2b5f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  <property fmtid="{D5CDD505-2E9C-101B-9397-08002B2CF9AE}" pid="10" name="ContentTypeId">
    <vt:lpwstr>0x0101001D06C41978F31C409F4A7F68FF64A6EE</vt:lpwstr>
  </property>
  <property fmtid="{D5CDD505-2E9C-101B-9397-08002B2CF9AE}" pid="11" name="MSIP_Label_53312e15-a5e9-4500-a857-15b9f442bba9_Enabled">
    <vt:lpwstr>true</vt:lpwstr>
  </property>
  <property fmtid="{D5CDD505-2E9C-101B-9397-08002B2CF9AE}" pid="12" name="MSIP_Label_53312e15-a5e9-4500-a857-15b9f442bba9_SetDate">
    <vt:lpwstr>2025-11-17T11:52:50Z</vt:lpwstr>
  </property>
  <property fmtid="{D5CDD505-2E9C-101B-9397-08002B2CF9AE}" pid="13" name="MSIP_Label_53312e15-a5e9-4500-a857-15b9f442bba9_Method">
    <vt:lpwstr>Standard</vt:lpwstr>
  </property>
  <property fmtid="{D5CDD505-2E9C-101B-9397-08002B2CF9AE}" pid="14" name="MSIP_Label_53312e15-a5e9-4500-a857-15b9f442bba9_Name">
    <vt:lpwstr>Informacje służbowe</vt:lpwstr>
  </property>
  <property fmtid="{D5CDD505-2E9C-101B-9397-08002B2CF9AE}" pid="15" name="MSIP_Label_53312e15-a5e9-4500-a857-15b9f442bba9_SiteId">
    <vt:lpwstr>8240863f-2f43-471d-b2eb-4a75fb9fab5b</vt:lpwstr>
  </property>
  <property fmtid="{D5CDD505-2E9C-101B-9397-08002B2CF9AE}" pid="16" name="MSIP_Label_53312e15-a5e9-4500-a857-15b9f442bba9_ActionId">
    <vt:lpwstr>af5d217b-3e3d-4d2f-9781-8a984c232cc6</vt:lpwstr>
  </property>
  <property fmtid="{D5CDD505-2E9C-101B-9397-08002B2CF9AE}" pid="17" name="MSIP_Label_53312e15-a5e9-4500-a857-15b9f442bba9_ContentBits">
    <vt:lpwstr>0</vt:lpwstr>
  </property>
  <property fmtid="{D5CDD505-2E9C-101B-9397-08002B2CF9AE}" pid="18" name="MSIP_Label_53312e15-a5e9-4500-a857-15b9f442bba9_Tag">
    <vt:lpwstr>10, 3, 0, 1</vt:lpwstr>
  </property>
</Properties>
</file>